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color w:val="000000"/>
          <w:sz w:val="44"/>
          <w:szCs w:val="44"/>
        </w:rPr>
      </w:pPr>
      <w:r>
        <w:rPr>
          <w:rFonts w:hint="eastAsia" w:ascii="黑体" w:hAnsi="黑体" w:eastAsia="黑体" w:cs="黑体"/>
          <w:sz w:val="44"/>
          <w:szCs w:val="44"/>
        </w:rPr>
        <w:drawing>
          <wp:inline distT="0" distB="0" distL="0" distR="0">
            <wp:extent cx="3549650" cy="1187450"/>
            <wp:effectExtent l="0" t="0" r="0" b="0"/>
            <wp:docPr id="476720272" name="图片 10" descr="天津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20272" name="图片 10" descr="天津大学"/>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549650" cy="1187450"/>
                    </a:xfrm>
                    <a:prstGeom prst="rect">
                      <a:avLst/>
                    </a:prstGeom>
                    <a:noFill/>
                    <a:ln>
                      <a:noFill/>
                    </a:ln>
                  </pic:spPr>
                </pic:pic>
              </a:graphicData>
            </a:graphic>
          </wp:inline>
        </w:drawing>
      </w:r>
    </w:p>
    <w:p>
      <w:pPr>
        <w:jc w:val="center"/>
        <w:rPr>
          <w:rFonts w:ascii="黑体" w:hAnsi="黑体" w:eastAsia="黑体" w:cs="黑体"/>
          <w:sz w:val="44"/>
          <w:szCs w:val="44"/>
        </w:rPr>
      </w:pPr>
      <w:r>
        <w:rPr>
          <w:rFonts w:ascii="黑体" w:hAnsi="黑体" w:eastAsia="黑体" w:cs="黑体"/>
          <w:sz w:val="44"/>
          <w:szCs w:val="44"/>
        </w:rPr>
        <w:t>第</w:t>
      </w:r>
      <w:r>
        <w:rPr>
          <w:rFonts w:hint="eastAsia" w:ascii="黑体" w:hAnsi="黑体" w:eastAsia="黑体" w:cs="黑体"/>
          <w:sz w:val="44"/>
          <w:szCs w:val="44"/>
        </w:rPr>
        <w:t>九</w:t>
      </w:r>
      <w:r>
        <w:rPr>
          <w:rFonts w:ascii="黑体" w:hAnsi="黑体" w:eastAsia="黑体" w:cs="黑体"/>
          <w:sz w:val="44"/>
          <w:szCs w:val="44"/>
        </w:rPr>
        <w:t xml:space="preserve">届中国国际“互联网+” </w:t>
      </w:r>
    </w:p>
    <w:p>
      <w:pPr>
        <w:jc w:val="center"/>
        <w:rPr>
          <w:rFonts w:ascii="黑体" w:hAnsi="黑体" w:eastAsia="黑体" w:cs="黑体"/>
          <w:sz w:val="44"/>
          <w:szCs w:val="44"/>
        </w:rPr>
      </w:pPr>
      <w:r>
        <w:rPr>
          <w:rFonts w:ascii="黑体" w:hAnsi="黑体" w:eastAsia="黑体" w:cs="黑体"/>
          <w:sz w:val="44"/>
          <w:szCs w:val="44"/>
        </w:rPr>
        <w:t>大学生创新创业大赛</w:t>
      </w:r>
    </w:p>
    <w:p>
      <w:pPr>
        <w:jc w:val="center"/>
        <w:rPr>
          <w:rFonts w:ascii="黑体" w:hAnsi="黑体" w:eastAsia="黑体" w:cs="黑体"/>
          <w:sz w:val="44"/>
          <w:szCs w:val="44"/>
        </w:rPr>
      </w:pPr>
      <w:r>
        <w:rPr>
          <w:rFonts w:hint="eastAsia" w:ascii="黑体" w:hAnsi="黑体" w:eastAsia="黑体" w:cs="黑体"/>
          <w:sz w:val="44"/>
          <w:szCs w:val="44"/>
        </w:rPr>
        <w:t>项目计划书</w:t>
      </w:r>
    </w:p>
    <w:p>
      <w:pPr>
        <w:jc w:val="center"/>
        <w:rPr>
          <w:rFonts w:ascii="黑体" w:hAnsi="黑体" w:eastAsia="黑体" w:cs="黑体"/>
          <w:sz w:val="44"/>
          <w:szCs w:val="44"/>
        </w:rPr>
      </w:pPr>
    </w:p>
    <w:p>
      <w:pPr>
        <w:rPr>
          <w:rFonts w:ascii="黑体" w:hAnsi="黑体" w:eastAsia="黑体" w:cs="黑体"/>
          <w:sz w:val="32"/>
          <w:szCs w:val="32"/>
          <w:u w:val="single"/>
        </w:rPr>
      </w:pPr>
      <w:r>
        <w:rPr>
          <w:rFonts w:hint="eastAsia" w:ascii="黑体" w:hAnsi="黑体" w:eastAsia="黑体" w:cs="黑体"/>
          <w:sz w:val="32"/>
          <w:szCs w:val="32"/>
        </w:rPr>
        <w:t xml:space="preserve">项目名称： </w:t>
      </w:r>
      <w:r>
        <w:rPr>
          <w:rFonts w:ascii="黑体" w:hAnsi="黑体" w:eastAsia="黑体" w:cs="黑体"/>
          <w:sz w:val="32"/>
          <w:szCs w:val="32"/>
        </w:rPr>
        <w:t xml:space="preserve"> </w:t>
      </w:r>
      <w:r>
        <w:rPr>
          <w:rFonts w:hint="eastAsia" w:ascii="黑体" w:hAnsi="黑体" w:eastAsia="黑体" w:cs="黑体"/>
          <w:sz w:val="32"/>
          <w:szCs w:val="32"/>
          <w:u w:val="single"/>
        </w:rPr>
        <w:t>E</w:t>
      </w:r>
      <w:r>
        <w:rPr>
          <w:rFonts w:ascii="黑体" w:hAnsi="黑体" w:eastAsia="黑体" w:cs="黑体"/>
          <w:sz w:val="32"/>
          <w:szCs w:val="32"/>
          <w:u w:val="single"/>
        </w:rPr>
        <w:t>-G</w:t>
      </w:r>
      <w:r>
        <w:rPr>
          <w:rFonts w:hint="eastAsia" w:ascii="黑体" w:hAnsi="黑体" w:eastAsia="黑体" w:cs="黑体"/>
          <w:sz w:val="32"/>
          <w:szCs w:val="32"/>
          <w:u w:val="single"/>
        </w:rPr>
        <w:t>l</w:t>
      </w:r>
      <w:r>
        <w:rPr>
          <w:rFonts w:ascii="黑体" w:hAnsi="黑体" w:eastAsia="黑体" w:cs="黑体"/>
          <w:sz w:val="32"/>
          <w:szCs w:val="32"/>
          <w:u w:val="single"/>
        </w:rPr>
        <w:t>ass</w:t>
      </w:r>
      <w:r>
        <w:rPr>
          <w:rFonts w:hint="eastAsia" w:ascii="黑体" w:hAnsi="黑体" w:eastAsia="黑体" w:cs="黑体"/>
          <w:sz w:val="32"/>
          <w:szCs w:val="32"/>
          <w:u w:val="single"/>
        </w:rPr>
        <w:t xml:space="preserve">第一代超高效自控人工光合建筑玻璃 </w:t>
      </w:r>
    </w:p>
    <w:p>
      <w:pPr>
        <w:widowControl/>
        <w:rPr>
          <w:rFonts w:ascii="黑体" w:hAnsi="黑体" w:eastAsia="黑体" w:cs="黑体"/>
          <w:sz w:val="32"/>
          <w:szCs w:val="32"/>
          <w:u w:val="single"/>
        </w:rPr>
      </w:pPr>
      <w:r>
        <w:rPr>
          <w:rFonts w:hint="eastAsia" w:ascii="黑体" w:hAnsi="黑体" w:eastAsia="黑体" w:cs="黑体"/>
          <w:sz w:val="32"/>
          <w:szCs w:val="32"/>
        </w:rPr>
        <w:t xml:space="preserve">赛 </w:t>
      </w:r>
      <w:r>
        <w:rPr>
          <w:rFonts w:ascii="黑体" w:hAnsi="黑体" w:eastAsia="黑体" w:cs="黑体"/>
          <w:sz w:val="32"/>
          <w:szCs w:val="32"/>
        </w:rPr>
        <w:t xml:space="preserve">   </w:t>
      </w:r>
      <w:r>
        <w:rPr>
          <w:rFonts w:hint="eastAsia" w:ascii="黑体" w:hAnsi="黑体" w:eastAsia="黑体" w:cs="黑体"/>
          <w:sz w:val="32"/>
          <w:szCs w:val="32"/>
        </w:rPr>
        <w:t xml:space="preserve">道：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高教主赛道 </w:t>
      </w:r>
      <w:r>
        <w:rPr>
          <w:rFonts w:ascii="黑体" w:hAnsi="黑体" w:eastAsia="黑体" w:cs="黑体"/>
          <w:sz w:val="32"/>
          <w:szCs w:val="32"/>
          <w:u w:val="single"/>
        </w:rPr>
        <w:t xml:space="preserve">                     </w:t>
      </w:r>
    </w:p>
    <w:p>
      <w:pPr>
        <w:widowControl/>
        <w:rPr>
          <w:rFonts w:ascii="黑体" w:hAnsi="黑体" w:eastAsia="黑体" w:cs="黑体"/>
          <w:sz w:val="32"/>
          <w:szCs w:val="32"/>
          <w:u w:val="single"/>
        </w:rPr>
      </w:pPr>
      <w:r>
        <w:rPr>
          <w:rFonts w:hint="eastAsia" w:ascii="黑体" w:hAnsi="黑体" w:eastAsia="黑体" w:cs="黑体"/>
          <w:sz w:val="32"/>
          <w:szCs w:val="32"/>
        </w:rPr>
        <w:t xml:space="preserve">参赛组别：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本科生创意组（高教主赛道） </w:t>
      </w:r>
      <w:r>
        <w:rPr>
          <w:rFonts w:ascii="黑体" w:hAnsi="黑体" w:eastAsia="黑体" w:cs="黑体"/>
          <w:sz w:val="32"/>
          <w:szCs w:val="32"/>
          <w:u w:val="single"/>
        </w:rPr>
        <w:t xml:space="preserve">     </w:t>
      </w:r>
    </w:p>
    <w:p>
      <w:pPr>
        <w:widowControl/>
        <w:rPr>
          <w:rFonts w:ascii="黑体" w:hAnsi="黑体" w:eastAsia="黑体" w:cs="黑体"/>
          <w:sz w:val="32"/>
          <w:szCs w:val="32"/>
        </w:rPr>
      </w:pPr>
      <w:r>
        <w:rPr>
          <w:rFonts w:hint="eastAsia" w:ascii="黑体" w:hAnsi="黑体" w:eastAsia="黑体" w:cs="黑体"/>
          <w:sz w:val="32"/>
          <w:szCs w:val="32"/>
        </w:rPr>
        <w:t xml:space="preserve">参赛类别：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新工科（高教主赛道） </w:t>
      </w:r>
      <w:r>
        <w:rPr>
          <w:rFonts w:ascii="黑体" w:hAnsi="黑体" w:eastAsia="黑体" w:cs="黑体"/>
          <w:sz w:val="32"/>
          <w:szCs w:val="32"/>
          <w:u w:val="single"/>
        </w:rPr>
        <w:t xml:space="preserve">           </w:t>
      </w:r>
    </w:p>
    <w:p>
      <w:pPr>
        <w:rPr>
          <w:rFonts w:ascii="黑体" w:hAnsi="黑体" w:eastAsia="黑体" w:cs="黑体"/>
          <w:sz w:val="32"/>
          <w:szCs w:val="32"/>
        </w:rPr>
      </w:pPr>
      <w:r>
        <w:rPr>
          <w:rFonts w:hint="eastAsia" w:ascii="黑体" w:hAnsi="黑体" w:eastAsia="黑体" w:cs="黑体"/>
          <w:sz w:val="32"/>
          <w:szCs w:val="32"/>
        </w:rPr>
        <w:t xml:space="preserve">所属高校：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天津大学  </w:t>
      </w:r>
      <w:r>
        <w:rPr>
          <w:rFonts w:ascii="黑体" w:hAnsi="黑体" w:eastAsia="黑体" w:cs="黑体"/>
          <w:sz w:val="32"/>
          <w:szCs w:val="32"/>
          <w:u w:val="single"/>
        </w:rPr>
        <w:t xml:space="preserve">                      </w:t>
      </w:r>
    </w:p>
    <w:p>
      <w:pPr>
        <w:rPr>
          <w:rFonts w:ascii="黑体" w:hAnsi="黑体" w:eastAsia="黑体" w:cs="黑体"/>
          <w:sz w:val="32"/>
          <w:szCs w:val="32"/>
        </w:rPr>
      </w:pPr>
      <w:r>
        <w:rPr>
          <w:rFonts w:hint="eastAsia" w:ascii="黑体" w:hAnsi="黑体" w:eastAsia="黑体" w:cs="黑体"/>
          <w:sz w:val="32"/>
          <w:szCs w:val="32"/>
        </w:rPr>
        <w:t xml:space="preserve">二级学院：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微电子学院 </w:t>
      </w:r>
      <w:r>
        <w:rPr>
          <w:rFonts w:ascii="黑体" w:hAnsi="黑体" w:eastAsia="黑体" w:cs="黑体"/>
          <w:sz w:val="32"/>
          <w:szCs w:val="32"/>
          <w:u w:val="single"/>
        </w:rPr>
        <w:t xml:space="preserve">                     </w:t>
      </w:r>
    </w:p>
    <w:p>
      <w:pPr>
        <w:rPr>
          <w:rFonts w:ascii="黑体" w:hAnsi="黑体" w:eastAsia="黑体" w:cs="黑体"/>
          <w:sz w:val="32"/>
          <w:szCs w:val="32"/>
        </w:rPr>
      </w:pPr>
      <w:r>
        <w:rPr>
          <w:rFonts w:hint="eastAsia" w:ascii="黑体" w:hAnsi="黑体" w:eastAsia="黑体" w:cs="黑体"/>
          <w:sz w:val="32"/>
          <w:szCs w:val="32"/>
        </w:rPr>
        <w:t>项目负责人：</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周子昂 </w:t>
      </w:r>
      <w:r>
        <w:rPr>
          <w:rFonts w:ascii="黑体" w:hAnsi="黑体" w:eastAsia="黑体" w:cs="黑体"/>
          <w:sz w:val="32"/>
          <w:szCs w:val="32"/>
          <w:u w:val="single"/>
        </w:rPr>
        <w:t xml:space="preserve">                          </w:t>
      </w:r>
    </w:p>
    <w:p>
      <w:pPr>
        <w:rPr>
          <w:rFonts w:ascii="黑体" w:hAnsi="黑体" w:eastAsia="黑体" w:cs="黑体"/>
          <w:sz w:val="32"/>
          <w:szCs w:val="32"/>
        </w:rPr>
      </w:pPr>
      <w:r>
        <w:rPr>
          <w:rFonts w:hint="eastAsia" w:ascii="黑体" w:hAnsi="黑体" w:eastAsia="黑体" w:cs="黑体"/>
          <w:sz w:val="32"/>
          <w:szCs w:val="32"/>
        </w:rPr>
        <w:t xml:space="preserve">联系电话： </w:t>
      </w:r>
      <w:r>
        <w:rPr>
          <w:rFonts w:ascii="黑体" w:hAnsi="黑体" w:eastAsia="黑体" w:cs="黑体"/>
          <w:sz w:val="32"/>
          <w:szCs w:val="32"/>
        </w:rPr>
        <w:t xml:space="preserve"> </w:t>
      </w:r>
      <w:r>
        <w:rPr>
          <w:rFonts w:ascii="黑体" w:hAnsi="黑体" w:eastAsia="黑体" w:cs="黑体"/>
          <w:sz w:val="32"/>
          <w:szCs w:val="32"/>
          <w:u w:val="single"/>
        </w:rPr>
        <w:t xml:space="preserve">        18186272480                      </w:t>
      </w:r>
      <w:bookmarkStart w:id="42" w:name="_GoBack"/>
      <w:bookmarkEnd w:id="42"/>
    </w:p>
    <w:p>
      <w:pPr>
        <w:rPr>
          <w:rFonts w:ascii="黑体" w:hAnsi="黑体" w:eastAsia="黑体" w:cs="黑体"/>
          <w:sz w:val="32"/>
          <w:szCs w:val="32"/>
        </w:rPr>
      </w:pPr>
      <w:r>
        <w:rPr>
          <w:rFonts w:hint="eastAsia" w:ascii="黑体" w:hAnsi="黑体" w:eastAsia="黑体" w:cs="黑体"/>
          <w:sz w:val="32"/>
          <w:szCs w:val="32"/>
        </w:rPr>
        <w:t xml:space="preserve">团队成员：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胡彦博 、</w:t>
      </w:r>
      <w:r>
        <w:rPr>
          <w:rFonts w:ascii="黑体" w:hAnsi="黑体" w:eastAsia="黑体" w:cs="黑体"/>
          <w:sz w:val="32"/>
          <w:szCs w:val="32"/>
          <w:u w:val="single"/>
        </w:rPr>
        <w:t xml:space="preserve"> </w:t>
      </w:r>
      <w:r>
        <w:rPr>
          <w:rFonts w:hint="eastAsia" w:ascii="黑体" w:hAnsi="黑体" w:eastAsia="黑体" w:cs="黑体"/>
          <w:sz w:val="32"/>
          <w:szCs w:val="32"/>
          <w:u w:val="single"/>
        </w:rPr>
        <w:t>陈家铭、李建蒴</w:t>
      </w:r>
      <w:r>
        <w:rPr>
          <w:rFonts w:ascii="黑体" w:hAnsi="黑体" w:eastAsia="黑体" w:cs="黑体"/>
          <w:sz w:val="32"/>
          <w:szCs w:val="32"/>
          <w:u w:val="single"/>
        </w:rPr>
        <w:t xml:space="preserve">         </w:t>
      </w:r>
    </w:p>
    <w:p>
      <w:pPr>
        <w:rPr>
          <w:rFonts w:ascii="黑体" w:hAnsi="黑体" w:eastAsia="黑体" w:cs="黑体"/>
          <w:sz w:val="32"/>
          <w:szCs w:val="32"/>
        </w:rPr>
      </w:pPr>
      <w:r>
        <w:rPr>
          <w:rFonts w:hint="eastAsia" w:ascii="黑体" w:hAnsi="黑体" w:eastAsia="黑体" w:cs="黑体"/>
          <w:sz w:val="32"/>
          <w:szCs w:val="32"/>
        </w:rPr>
        <w:t xml:space="preserve">指导教师： </w:t>
      </w:r>
      <w:r>
        <w:rPr>
          <w:rFonts w:ascii="黑体" w:hAnsi="黑体" w:eastAsia="黑体" w:cs="黑体"/>
          <w:sz w:val="32"/>
          <w:szCs w:val="32"/>
        </w:rPr>
        <w:t xml:space="preserve"> </w:t>
      </w:r>
      <w:r>
        <w:rPr>
          <w:rFonts w:hint="eastAsia" w:ascii="黑体" w:hAnsi="黑体" w:eastAsia="黑体" w:cs="黑体"/>
          <w:sz w:val="32"/>
          <w:szCs w:val="32"/>
          <w:u w:val="single"/>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rPr>
        <w:t xml:space="preserve">任翔、李岚、于淼 </w:t>
      </w:r>
      <w:r>
        <w:rPr>
          <w:rFonts w:ascii="黑体" w:hAnsi="黑体" w:eastAsia="黑体" w:cs="黑体"/>
          <w:sz w:val="32"/>
          <w:szCs w:val="32"/>
          <w:u w:val="single"/>
        </w:rPr>
        <w:t xml:space="preserve">                </w:t>
      </w:r>
    </w:p>
    <w:p>
      <w:pPr>
        <w:widowControl/>
        <w:jc w:val="left"/>
        <w:rPr>
          <w:rFonts w:ascii="黑体" w:hAnsi="黑体" w:eastAsia="黑体" w:cs="黑体"/>
          <w:sz w:val="32"/>
          <w:szCs w:val="32"/>
        </w:rPr>
      </w:pPr>
      <w:r>
        <w:rPr>
          <w:rFonts w:ascii="黑体" w:hAnsi="黑体" w:eastAsia="黑体" w:cs="黑体"/>
          <w:sz w:val="32"/>
          <w:szCs w:val="32"/>
        </w:rPr>
        <w:br w:type="page"/>
      </w:r>
    </w:p>
    <w:sdt>
      <w:sdtPr>
        <w:rPr>
          <w:rFonts w:ascii="Times New Roman" w:hAnsi="Times New Roman" w:eastAsia="宋体" w:cstheme="minorBidi"/>
          <w:b w:val="0"/>
          <w:color w:val="auto"/>
          <w:kern w:val="2"/>
          <w:sz w:val="24"/>
          <w:szCs w:val="22"/>
          <w:lang w:val="zh-CN"/>
        </w:rPr>
        <w:id w:val="-172486152"/>
        <w:docPartObj>
          <w:docPartGallery w:val="Table of Contents"/>
          <w:docPartUnique/>
        </w:docPartObj>
      </w:sdtPr>
      <w:sdtEndPr>
        <w:rPr>
          <w:rFonts w:ascii="Times New Roman" w:hAnsi="Times New Roman" w:eastAsia="宋体" w:cstheme="minorBidi"/>
          <w:b w:val="0"/>
          <w:bCs/>
          <w:color w:val="auto"/>
          <w:kern w:val="2"/>
          <w:sz w:val="24"/>
          <w:szCs w:val="22"/>
          <w:lang w:val="zh-CN"/>
        </w:rPr>
      </w:sdtEndPr>
      <w:sdtContent>
        <w:p>
          <w:pPr>
            <w:pStyle w:val="22"/>
          </w:pPr>
          <w:r>
            <w:rPr>
              <w:lang w:val="zh-CN"/>
            </w:rPr>
            <w:t>目录</w:t>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TOC \o "1-3" \h \z \u </w:instrText>
          </w:r>
          <w:r>
            <w:fldChar w:fldCharType="separate"/>
          </w:r>
          <w:r>
            <w:fldChar w:fldCharType="begin"/>
          </w:r>
          <w:r>
            <w:instrText xml:space="preserve"> HYPERLINK \l "_Toc137328510" </w:instrText>
          </w:r>
          <w:r>
            <w:fldChar w:fldCharType="separate"/>
          </w:r>
          <w:r>
            <w:rPr>
              <w:rStyle w:val="14"/>
            </w:rPr>
            <w:t>第一章 执行总结</w:t>
          </w:r>
          <w:r>
            <w:tab/>
          </w:r>
          <w:r>
            <w:fldChar w:fldCharType="begin"/>
          </w:r>
          <w:r>
            <w:instrText xml:space="preserve"> PAGEREF _Toc137328510 \h </w:instrText>
          </w:r>
          <w:r>
            <w:fldChar w:fldCharType="separate"/>
          </w:r>
          <w:r>
            <w:t>3</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"_Toc137328511" </w:instrText>
          </w:r>
          <w:r>
            <w:fldChar w:fldCharType="separate"/>
          </w:r>
          <w:r>
            <w:rPr>
              <w:rStyle w:val="14"/>
            </w:rPr>
            <w:t>1.1项目背景</w:t>
          </w:r>
          <w:r>
            <w:tab/>
          </w:r>
          <w:r>
            <w:fldChar w:fldCharType="begin"/>
          </w:r>
          <w:r>
            <w:instrText xml:space="preserve"> PAGEREF _Toc137328511 \h </w:instrText>
          </w:r>
          <w:r>
            <w:fldChar w:fldCharType="separate"/>
          </w:r>
          <w:r>
            <w:t>3</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"_Toc137328512" </w:instrText>
          </w:r>
          <w:r>
            <w:fldChar w:fldCharType="separate"/>
          </w:r>
          <w:r>
            <w:rPr>
              <w:rStyle w:val="14"/>
            </w:rPr>
            <w:t>1.1.1城市化进程矛盾显著</w:t>
          </w:r>
          <w:r>
            <w:tab/>
          </w:r>
          <w:r>
            <w:fldChar w:fldCharType="begin"/>
          </w:r>
          <w:r>
            <w:instrText xml:space="preserve"> PAGEREF _Toc137328512 \h </w:instrText>
          </w:r>
          <w:r>
            <w:fldChar w:fldCharType="separate"/>
          </w:r>
          <w:r>
            <w:t>3</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"_Toc137328513" </w:instrText>
          </w:r>
          <w:r>
            <w:fldChar w:fldCharType="separate"/>
          </w:r>
          <w:r>
            <w:rPr>
              <w:rStyle w:val="14"/>
            </w:rPr>
            <w:t>1.1.2“双碳”目标任重道远</w:t>
          </w:r>
          <w:r>
            <w:tab/>
          </w:r>
          <w:r>
            <w:fldChar w:fldCharType="begin"/>
          </w:r>
          <w:r>
            <w:instrText xml:space="preserve"> PAGEREF _Toc137328513 \h </w:instrText>
          </w:r>
          <w:r>
            <w:fldChar w:fldCharType="separate"/>
          </w:r>
          <w:r>
            <w:t>3</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"_Toc137328514" </w:instrText>
          </w:r>
          <w:r>
            <w:fldChar w:fldCharType="separate"/>
          </w:r>
          <w:r>
            <w:rPr>
              <w:rStyle w:val="14"/>
            </w:rPr>
            <w:t>1.1.3 新能源体系形成面临困境</w:t>
          </w:r>
          <w:r>
            <w:tab/>
          </w:r>
          <w:r>
            <w:fldChar w:fldCharType="begin"/>
          </w:r>
          <w:r>
            <w:instrText xml:space="preserve"> PAGEREF _Toc137328514 \h </w:instrText>
          </w:r>
          <w:r>
            <w:fldChar w:fldCharType="separate"/>
          </w:r>
          <w:r>
            <w:t>3</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"_Toc137328515" </w:instrText>
          </w:r>
          <w:r>
            <w:fldChar w:fldCharType="separate"/>
          </w:r>
          <w:r>
            <w:rPr>
              <w:rStyle w:val="14"/>
            </w:rPr>
            <w:t>1.2项目概述</w:t>
          </w:r>
          <w:r>
            <w:tab/>
          </w:r>
          <w:r>
            <w:fldChar w:fldCharType="begin"/>
          </w:r>
          <w:r>
            <w:instrText xml:space="preserve"> PAGEREF _Toc137328515 \h </w:instrText>
          </w:r>
          <w:r>
            <w:fldChar w:fldCharType="separate"/>
          </w:r>
          <w:r>
            <w:t>3</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"_Toc137328516" </w:instrText>
          </w:r>
          <w:r>
            <w:fldChar w:fldCharType="separate"/>
          </w:r>
          <w:r>
            <w:rPr>
              <w:rStyle w:val="14"/>
            </w:rPr>
            <w:t>1.3市场与竞争分析</w:t>
          </w:r>
          <w:r>
            <w:tab/>
          </w:r>
          <w:r>
            <w:fldChar w:fldCharType="begin"/>
          </w:r>
          <w:r>
            <w:instrText xml:space="preserve"> PAGEREF _Toc137328516 \h </w:instrText>
          </w:r>
          <w:r>
            <w:fldChar w:fldCharType="separate"/>
          </w:r>
          <w:r>
            <w:t>3</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"_Toc137328517" </w:instrText>
          </w:r>
          <w:r>
            <w:fldChar w:fldCharType="separate"/>
          </w:r>
          <w:r>
            <w:rPr>
              <w:rStyle w:val="14"/>
            </w:rPr>
            <w:t>1.4战略目标和规划</w:t>
          </w:r>
          <w:r>
            <w:tab/>
          </w:r>
          <w:r>
            <w:fldChar w:fldCharType="begin"/>
          </w:r>
          <w:r>
            <w:instrText xml:space="preserve"> PAGEREF _Toc137328517 \h </w:instrText>
          </w:r>
          <w:r>
            <w:fldChar w:fldCharType="separate"/>
          </w:r>
          <w:r>
            <w:t>4</w:t>
          </w:r>
          <w:r>
            <w:fldChar w:fldCharType="end"/>
          </w:r>
          <w:r>
            <w:fldChar w:fldCharType="end"/>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HYPERLINK \l "_Toc137328518" </w:instrText>
          </w:r>
          <w:r>
            <w:fldChar w:fldCharType="separate"/>
          </w:r>
          <w:r>
            <w:rPr>
              <w:rStyle w:val="14"/>
            </w:rPr>
            <w:t>第二章 项目背景</w:t>
          </w:r>
          <w:r>
            <w:tab/>
          </w:r>
          <w:r>
            <w:fldChar w:fldCharType="begin"/>
          </w:r>
          <w:r>
            <w:instrText xml:space="preserve"> PAGEREF _Toc137328518 \h </w:instrText>
          </w:r>
          <w:r>
            <w:fldChar w:fldCharType="separate"/>
          </w:r>
          <w:r>
            <w:t>4</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"_Toc137328519" </w:instrText>
          </w:r>
          <w:r>
            <w:fldChar w:fldCharType="separate"/>
          </w:r>
          <w:r>
            <w:rPr>
              <w:rStyle w:val="14"/>
              <w:rFonts w:ascii="宋体" w:hAnsi="宋体"/>
            </w:rPr>
            <w:t>2.1</w:t>
          </w:r>
          <w:r>
            <w:rPr>
              <w:rStyle w:val="14"/>
            </w:rPr>
            <w:t>巨大耗能量与产能不足</w:t>
          </w:r>
          <w:r>
            <w:tab/>
          </w:r>
          <w:r>
            <w:fldChar w:fldCharType="begin"/>
          </w:r>
          <w:r>
            <w:instrText xml:space="preserve"> PAGEREF _Toc137328519 \h </w:instrText>
          </w:r>
          <w:r>
            <w:fldChar w:fldCharType="separate"/>
          </w:r>
          <w:r>
            <w:t>4</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"_Toc137328520" </w:instrText>
          </w:r>
          <w:r>
            <w:fldChar w:fldCharType="separate"/>
          </w:r>
          <w:r>
            <w:rPr>
              <w:rStyle w:val="14"/>
              <w:rFonts w:ascii="宋体" w:hAnsi="宋体"/>
            </w:rPr>
            <w:t>2.2</w:t>
          </w:r>
          <w:r>
            <w:rPr>
              <w:rStyle w:val="14"/>
            </w:rPr>
            <w:t>城市扩张与耕地减少矛盾</w:t>
          </w:r>
          <w:r>
            <w:tab/>
          </w:r>
          <w:r>
            <w:fldChar w:fldCharType="begin"/>
          </w:r>
          <w:r>
            <w:instrText xml:space="preserve"> PAGEREF _Toc137328520 \h </w:instrText>
          </w:r>
          <w:r>
            <w:fldChar w:fldCharType="separate"/>
          </w:r>
          <w:r>
            <w:t>4</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"_Toc137328521" </w:instrText>
          </w:r>
          <w:r>
            <w:fldChar w:fldCharType="separate"/>
          </w:r>
          <w:r>
            <w:rPr>
              <w:rStyle w:val="14"/>
              <w:rFonts w:ascii="宋体" w:hAnsi="宋体"/>
            </w:rPr>
            <w:t>2.3</w:t>
          </w:r>
          <w:r>
            <w:rPr>
              <w:rStyle w:val="14"/>
            </w:rPr>
            <w:t>城市环境污染问题无法根治</w:t>
          </w:r>
          <w:r>
            <w:tab/>
          </w:r>
          <w:r>
            <w:fldChar w:fldCharType="begin"/>
          </w:r>
          <w:r>
            <w:instrText xml:space="preserve"> PAGEREF _Toc137328521 \h </w:instrText>
          </w:r>
          <w:r>
            <w:fldChar w:fldCharType="separate"/>
          </w:r>
          <w:r>
            <w:t>4</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"_Toc137328522" </w:instrText>
          </w:r>
          <w:r>
            <w:fldChar w:fldCharType="separate"/>
          </w:r>
          <w:r>
            <w:rPr>
              <w:rStyle w:val="14"/>
              <w:rFonts w:ascii="宋体" w:hAnsi="宋体"/>
            </w:rPr>
            <w:t>2.4</w:t>
          </w:r>
          <w:r>
            <w:rPr>
              <w:rStyle w:val="14"/>
            </w:rPr>
            <w:t>资源利用率有待提高</w:t>
          </w:r>
          <w:r>
            <w:tab/>
          </w:r>
          <w:r>
            <w:fldChar w:fldCharType="begin"/>
          </w:r>
          <w:r>
            <w:instrText xml:space="preserve"> PAGEREF _Toc137328522 \h </w:instrText>
          </w:r>
          <w:r>
            <w:fldChar w:fldCharType="separate"/>
          </w:r>
          <w:r>
            <w:t>5</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"_Toc137328523" </w:instrText>
          </w:r>
          <w:r>
            <w:fldChar w:fldCharType="separate"/>
          </w:r>
          <w:r>
            <w:rPr>
              <w:rStyle w:val="14"/>
            </w:rPr>
            <w:t>2.5双碳政策呼吁行业发展</w:t>
          </w:r>
          <w:r>
            <w:tab/>
          </w:r>
          <w:r>
            <w:fldChar w:fldCharType="begin"/>
          </w:r>
          <w:r>
            <w:instrText xml:space="preserve"> PAGEREF _Toc137328523 \h </w:instrText>
          </w:r>
          <w:r>
            <w:fldChar w:fldCharType="separate"/>
          </w:r>
          <w:r>
            <w:t>5</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"_Toc137328524" </w:instrText>
          </w:r>
          <w:r>
            <w:fldChar w:fldCharType="separate"/>
          </w:r>
          <w:r>
            <w:rPr>
              <w:rStyle w:val="14"/>
            </w:rPr>
            <w:t>2.6能源行业面临发展瓶颈</w:t>
          </w:r>
          <w:r>
            <w:tab/>
          </w:r>
          <w:r>
            <w:fldChar w:fldCharType="begin"/>
          </w:r>
          <w:r>
            <w:instrText xml:space="preserve"> PAGEREF _Toc137328524 \h </w:instrText>
          </w:r>
          <w:r>
            <w:fldChar w:fldCharType="separate"/>
          </w:r>
          <w:r>
            <w:t>5</w:t>
          </w:r>
          <w:r>
            <w:fldChar w:fldCharType="end"/>
          </w:r>
          <w:r>
            <w:fldChar w:fldCharType="end"/>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HYPERLINK \l "_Toc137328525" </w:instrText>
          </w:r>
          <w:r>
            <w:fldChar w:fldCharType="separate"/>
          </w:r>
          <w:r>
            <w:rPr>
              <w:rStyle w:val="14"/>
            </w:rPr>
            <w:t>第三章 项目介绍</w:t>
          </w:r>
          <w:r>
            <w:tab/>
          </w:r>
          <w:r>
            <w:fldChar w:fldCharType="begin"/>
          </w:r>
          <w:r>
            <w:instrText xml:space="preserve"> PAGEREF _Toc137328525 \h </w:instrText>
          </w:r>
          <w:r>
            <w:fldChar w:fldCharType="separate"/>
          </w:r>
          <w:r>
            <w:t>7</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"_Toc137328526" </w:instrText>
          </w:r>
          <w:r>
            <w:fldChar w:fldCharType="separate"/>
          </w:r>
          <w:r>
            <w:rPr>
              <w:rStyle w:val="14"/>
            </w:rPr>
            <w:t>3.1超高效光合模块</w:t>
          </w:r>
          <w:r>
            <w:tab/>
          </w:r>
          <w:r>
            <w:fldChar w:fldCharType="begin"/>
          </w:r>
          <w:r>
            <w:instrText xml:space="preserve"> PAGEREF _Toc137328526 \h </w:instrText>
          </w:r>
          <w:r>
            <w:fldChar w:fldCharType="separate"/>
          </w:r>
          <w:r>
            <w:t>8</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"_Toc137328527" </w:instrText>
          </w:r>
          <w:r>
            <w:fldChar w:fldCharType="separate"/>
          </w:r>
          <w:r>
            <w:rPr>
              <w:rStyle w:val="14"/>
            </w:rPr>
            <w:t>3.2 水资源循环系统</w:t>
          </w:r>
          <w:r>
            <w:tab/>
          </w:r>
          <w:r>
            <w:fldChar w:fldCharType="begin"/>
          </w:r>
          <w:r>
            <w:instrText xml:space="preserve"> PAGEREF _Toc137328527 \h </w:instrText>
          </w:r>
          <w:r>
            <w:fldChar w:fldCharType="separate"/>
          </w:r>
          <w:r>
            <w:t>9</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"_Toc137328528" </w:instrText>
          </w:r>
          <w:r>
            <w:fldChar w:fldCharType="separate"/>
          </w:r>
          <w:r>
            <w:rPr>
              <w:rStyle w:val="14"/>
            </w:rPr>
            <w:t>3.3微型智能控制系统</w:t>
          </w:r>
          <w:r>
            <w:tab/>
          </w:r>
          <w:r>
            <w:fldChar w:fldCharType="begin"/>
          </w:r>
          <w:r>
            <w:instrText xml:space="preserve"> PAGEREF _Toc137328528 \h </w:instrText>
          </w:r>
          <w:r>
            <w:fldChar w:fldCharType="separate"/>
          </w:r>
          <w:r>
            <w:t>9</w:t>
          </w:r>
          <w:r>
            <w:fldChar w:fldCharType="end"/>
          </w:r>
          <w:r>
            <w:fldChar w:fldCharType="end"/>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HYPERLINK \l "_Toc137328529" </w:instrText>
          </w:r>
          <w:r>
            <w:fldChar w:fldCharType="separate"/>
          </w:r>
          <w:r>
            <w:rPr>
              <w:rStyle w:val="14"/>
            </w:rPr>
            <w:t>第四章 市场分析</w:t>
          </w:r>
          <w:r>
            <w:tab/>
          </w:r>
          <w:r>
            <w:fldChar w:fldCharType="begin"/>
          </w:r>
          <w:r>
            <w:instrText xml:space="preserve"> PAGEREF _Toc137328529 \h </w:instrText>
          </w:r>
          <w:r>
            <w:fldChar w:fldCharType="separate"/>
          </w:r>
          <w:r>
            <w:t>11</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"_Toc137328530" </w:instrText>
          </w:r>
          <w:r>
            <w:fldChar w:fldCharType="separate"/>
          </w:r>
          <w:r>
            <w:rPr>
              <w:rStyle w:val="14"/>
            </w:rPr>
            <w:t>4.1房地产行业发展趋势</w:t>
          </w:r>
          <w:r>
            <w:tab/>
          </w:r>
          <w:r>
            <w:fldChar w:fldCharType="begin"/>
          </w:r>
          <w:r>
            <w:instrText xml:space="preserve"> PAGEREF _Toc137328530 \h </w:instrText>
          </w:r>
          <w:r>
            <w:fldChar w:fldCharType="separate"/>
          </w:r>
          <w:r>
            <w:t>11</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"_Toc137328531" </w:instrText>
          </w:r>
          <w:r>
            <w:fldChar w:fldCharType="separate"/>
          </w:r>
          <w:r>
            <w:rPr>
              <w:rStyle w:val="14"/>
            </w:rPr>
            <w:t>4.2建筑业碳排放情况</w:t>
          </w:r>
          <w:r>
            <w:tab/>
          </w:r>
          <w:r>
            <w:fldChar w:fldCharType="begin"/>
          </w:r>
          <w:r>
            <w:instrText xml:space="preserve"> PAGEREF _Toc137328531 \h </w:instrText>
          </w:r>
          <w:r>
            <w:fldChar w:fldCharType="separate"/>
          </w:r>
          <w:r>
            <w:t>11</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"_Toc137328532" </w:instrText>
          </w:r>
          <w:r>
            <w:fldChar w:fldCharType="separate"/>
          </w:r>
          <w:r>
            <w:rPr>
              <w:rStyle w:val="14"/>
            </w:rPr>
            <w:t>4.3新能源发展趋势</w:t>
          </w:r>
          <w:r>
            <w:tab/>
          </w:r>
          <w:r>
            <w:fldChar w:fldCharType="begin"/>
          </w:r>
          <w:r>
            <w:instrText xml:space="preserve"> PAGEREF _Toc137328532 \h </w:instrText>
          </w:r>
          <w:r>
            <w:fldChar w:fldCharType="separate"/>
          </w:r>
          <w:r>
            <w:t>12</w:t>
          </w:r>
          <w:r>
            <w:fldChar w:fldCharType="end"/>
          </w:r>
          <w:r>
            <w:fldChar w:fldCharType="end"/>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HYPERLINK \l "_Toc137328533" </w:instrText>
          </w:r>
          <w:r>
            <w:fldChar w:fldCharType="separate"/>
          </w:r>
          <w:r>
            <w:rPr>
              <w:rStyle w:val="14"/>
            </w:rPr>
            <w:t>第五章 项目产品评估及竞品分析</w:t>
          </w:r>
          <w:r>
            <w:tab/>
          </w:r>
          <w:r>
            <w:fldChar w:fldCharType="begin"/>
          </w:r>
          <w:r>
            <w:instrText xml:space="preserve"> PAGEREF _Toc137328533 \h </w:instrText>
          </w:r>
          <w:r>
            <w:fldChar w:fldCharType="separate"/>
          </w:r>
          <w:r>
            <w:t>13</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"_Toc137328534" </w:instrText>
          </w:r>
          <w:r>
            <w:fldChar w:fldCharType="separate"/>
          </w:r>
          <w:r>
            <w:rPr>
              <w:rStyle w:val="14"/>
            </w:rPr>
            <w:t>5.1 E-Glass系统成本估算</w:t>
          </w:r>
          <w:r>
            <w:tab/>
          </w:r>
          <w:r>
            <w:fldChar w:fldCharType="begin"/>
          </w:r>
          <w:r>
            <w:instrText xml:space="preserve"> PAGEREF _Toc137328534 \h </w:instrText>
          </w:r>
          <w:r>
            <w:fldChar w:fldCharType="separate"/>
          </w:r>
          <w:r>
            <w:t>13</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"_Toc137328535" </w:instrText>
          </w:r>
          <w:r>
            <w:fldChar w:fldCharType="separate"/>
          </w:r>
          <w:r>
            <w:rPr>
              <w:rStyle w:val="14"/>
            </w:rPr>
            <w:t>5.1.1光反应模块成本估算</w:t>
          </w:r>
          <w:r>
            <w:tab/>
          </w:r>
          <w:r>
            <w:fldChar w:fldCharType="begin"/>
          </w:r>
          <w:r>
            <w:instrText xml:space="preserve"> PAGEREF _Toc137328535 \h </w:instrText>
          </w:r>
          <w:r>
            <w:fldChar w:fldCharType="separate"/>
          </w:r>
          <w:r>
            <w:t>13</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"_Toc137328536" </w:instrText>
          </w:r>
          <w:r>
            <w:fldChar w:fldCharType="separate"/>
          </w:r>
          <w:r>
            <w:rPr>
              <w:rStyle w:val="14"/>
            </w:rPr>
            <w:t>5.1.2水资源回收系统成本估算</w:t>
          </w:r>
          <w:r>
            <w:tab/>
          </w:r>
          <w:r>
            <w:fldChar w:fldCharType="begin"/>
          </w:r>
          <w:r>
            <w:instrText xml:space="preserve"> PAGEREF _Toc137328536 \h </w:instrText>
          </w:r>
          <w:r>
            <w:fldChar w:fldCharType="separate"/>
          </w:r>
          <w:r>
            <w:t>14</w:t>
          </w:r>
          <w:r>
            <w:fldChar w:fldCharType="end"/>
          </w:r>
          <w:r>
            <w:fldChar w:fldCharType="end"/>
          </w:r>
        </w:p>
        <w:p>
          <w:pPr>
            <w:pStyle w:val="6"/>
            <w:tabs>
              <w:tab w:val="right" w:leader="dot" w:pos="8296"/>
            </w:tabs>
            <w:ind w:left="960"/>
            <w:rPr>
              <w:rFonts w:asciiTheme="minorHAnsi" w:hAnsiTheme="minorHAnsi" w:eastAsiaTheme="minorEastAsia"/>
              <w:sz w:val="21"/>
              <w14:ligatures w14:val="standardContextual"/>
            </w:rPr>
          </w:pPr>
          <w:r>
            <w:fldChar w:fldCharType="begin"/>
          </w:r>
          <w:r>
            <w:instrText xml:space="preserve"> HYPERLINK \l "_Toc137328537" </w:instrText>
          </w:r>
          <w:r>
            <w:fldChar w:fldCharType="separate"/>
          </w:r>
          <w:r>
            <w:rPr>
              <w:rStyle w:val="14"/>
            </w:rPr>
            <w:t>5.1.3智能控制系统成本估算</w:t>
          </w:r>
          <w:r>
            <w:tab/>
          </w:r>
          <w:r>
            <w:fldChar w:fldCharType="begin"/>
          </w:r>
          <w:r>
            <w:instrText xml:space="preserve"> PAGEREF _Toc137328537 \h </w:instrText>
          </w:r>
          <w:r>
            <w:fldChar w:fldCharType="separate"/>
          </w:r>
          <w:r>
            <w:t>14</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"_Toc137328538" </w:instrText>
          </w:r>
          <w:r>
            <w:fldChar w:fldCharType="separate"/>
          </w:r>
          <w:r>
            <w:rPr>
              <w:rStyle w:val="14"/>
            </w:rPr>
            <w:t>5.2 E-Glass系统效益分析</w:t>
          </w:r>
          <w:r>
            <w:tab/>
          </w:r>
          <w:r>
            <w:fldChar w:fldCharType="begin"/>
          </w:r>
          <w:r>
            <w:instrText xml:space="preserve"> PAGEREF _Toc137328538 \h </w:instrText>
          </w:r>
          <w:r>
            <w:fldChar w:fldCharType="separate"/>
          </w:r>
          <w:r>
            <w:t>14</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"_Toc137328539" </w:instrText>
          </w:r>
          <w:r>
            <w:fldChar w:fldCharType="separate"/>
          </w:r>
          <w:r>
            <w:rPr>
              <w:rStyle w:val="14"/>
            </w:rPr>
            <w:t>5.3竞品分析</w:t>
          </w:r>
          <w:r>
            <w:tab/>
          </w:r>
          <w:r>
            <w:fldChar w:fldCharType="begin"/>
          </w:r>
          <w:r>
            <w:instrText xml:space="preserve"> PAGEREF _Toc137328539 \h </w:instrText>
          </w:r>
          <w:r>
            <w:fldChar w:fldCharType="separate"/>
          </w:r>
          <w:r>
            <w:t>15</w:t>
          </w:r>
          <w:r>
            <w:fldChar w:fldCharType="end"/>
          </w:r>
          <w:r>
            <w:fldChar w:fldCharType="end"/>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HYPERLINK \l "_Toc137328540" </w:instrText>
          </w:r>
          <w:r>
            <w:fldChar w:fldCharType="separate"/>
          </w:r>
          <w:r>
            <w:rPr>
              <w:rStyle w:val="14"/>
            </w:rPr>
            <w:t>第六章 战略目标与规划</w:t>
          </w:r>
          <w:r>
            <w:tab/>
          </w:r>
          <w:r>
            <w:fldChar w:fldCharType="begin"/>
          </w:r>
          <w:r>
            <w:instrText xml:space="preserve"> PAGEREF _Toc137328540 \h </w:instrText>
          </w:r>
          <w:r>
            <w:fldChar w:fldCharType="separate"/>
          </w:r>
          <w:r>
            <w:t>16</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"_Toc137328541" </w:instrText>
          </w:r>
          <w:r>
            <w:fldChar w:fldCharType="separate"/>
          </w:r>
          <w:r>
            <w:rPr>
              <w:rStyle w:val="14"/>
            </w:rPr>
            <w:t>6.1 零碳运营</w:t>
          </w:r>
          <w:r>
            <w:tab/>
          </w:r>
          <w:r>
            <w:fldChar w:fldCharType="begin"/>
          </w:r>
          <w:r>
            <w:instrText xml:space="preserve"> PAGEREF _Toc137328541 \h </w:instrText>
          </w:r>
          <w:r>
            <w:fldChar w:fldCharType="separate"/>
          </w:r>
          <w:r>
            <w:t>16</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"_Toc137328542" </w:instrText>
          </w:r>
          <w:r>
            <w:fldChar w:fldCharType="separate"/>
          </w:r>
          <w:r>
            <w:rPr>
              <w:rStyle w:val="14"/>
            </w:rPr>
            <w:t>6.2数智管理</w:t>
          </w:r>
          <w:r>
            <w:tab/>
          </w:r>
          <w:r>
            <w:fldChar w:fldCharType="begin"/>
          </w:r>
          <w:r>
            <w:instrText xml:space="preserve"> PAGEREF _Toc137328542 \h </w:instrText>
          </w:r>
          <w:r>
            <w:fldChar w:fldCharType="separate"/>
          </w:r>
          <w:r>
            <w:t>17</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"_Toc137328543" </w:instrText>
          </w:r>
          <w:r>
            <w:fldChar w:fldCharType="separate"/>
          </w:r>
          <w:r>
            <w:rPr>
              <w:rStyle w:val="14"/>
            </w:rPr>
            <w:t>6.3重塑布局</w:t>
          </w:r>
          <w:r>
            <w:tab/>
          </w:r>
          <w:r>
            <w:fldChar w:fldCharType="begin"/>
          </w:r>
          <w:r>
            <w:instrText xml:space="preserve"> PAGEREF _Toc137328543 \h </w:instrText>
          </w:r>
          <w:r>
            <w:fldChar w:fldCharType="separate"/>
          </w:r>
          <w:r>
            <w:t>18</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"_Toc137328544" </w:instrText>
          </w:r>
          <w:r>
            <w:fldChar w:fldCharType="separate"/>
          </w:r>
          <w:r>
            <w:rPr>
              <w:rStyle w:val="14"/>
            </w:rPr>
            <w:t>6.3外星探索引领未来</w:t>
          </w:r>
          <w:r>
            <w:tab/>
          </w:r>
          <w:r>
            <w:fldChar w:fldCharType="begin"/>
          </w:r>
          <w:r>
            <w:instrText xml:space="preserve"> PAGEREF _Toc137328544 \h </w:instrText>
          </w:r>
          <w:r>
            <w:fldChar w:fldCharType="separate"/>
          </w:r>
          <w:r>
            <w:t>19</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"_Toc137328545" </w:instrText>
          </w:r>
          <w:r>
            <w:fldChar w:fldCharType="separate"/>
          </w:r>
          <w:r>
            <w:rPr>
              <w:rStyle w:val="14"/>
            </w:rPr>
            <w:t>6.4研发规划</w:t>
          </w:r>
          <w:r>
            <w:tab/>
          </w:r>
          <w:r>
            <w:fldChar w:fldCharType="begin"/>
          </w:r>
          <w:r>
            <w:instrText xml:space="preserve"> PAGEREF _Toc137328545 \h </w:instrText>
          </w:r>
          <w:r>
            <w:fldChar w:fldCharType="separate"/>
          </w:r>
          <w:r>
            <w:t>19</w:t>
          </w:r>
          <w:r>
            <w:fldChar w:fldCharType="end"/>
          </w:r>
          <w:r>
            <w:fldChar w:fldCharType="end"/>
          </w:r>
        </w:p>
        <w:p>
          <w:pPr>
            <w:pStyle w:val="9"/>
            <w:tabs>
              <w:tab w:val="right" w:leader="dot" w:pos="8296"/>
            </w:tabs>
            <w:rPr>
              <w:rFonts w:asciiTheme="minorHAnsi" w:hAnsiTheme="minorHAnsi" w:eastAsiaTheme="minorEastAsia"/>
              <w:sz w:val="21"/>
              <w14:ligatures w14:val="standardContextual"/>
            </w:rPr>
          </w:pPr>
          <w:r>
            <w:fldChar w:fldCharType="begin"/>
          </w:r>
          <w:r>
            <w:instrText xml:space="preserve"> HYPERLINK \l "_Toc137328546" </w:instrText>
          </w:r>
          <w:r>
            <w:fldChar w:fldCharType="separate"/>
          </w:r>
          <w:r>
            <w:rPr>
              <w:rStyle w:val="14"/>
            </w:rPr>
            <w:t>第七章 团队介绍</w:t>
          </w:r>
          <w:r>
            <w:tab/>
          </w:r>
          <w:r>
            <w:fldChar w:fldCharType="begin"/>
          </w:r>
          <w:r>
            <w:instrText xml:space="preserve"> PAGEREF _Toc137328546 \h </w:instrText>
          </w:r>
          <w:r>
            <w:fldChar w:fldCharType="separate"/>
          </w:r>
          <w:r>
            <w:t>20</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"_Toc137328547" </w:instrText>
          </w:r>
          <w:r>
            <w:fldChar w:fldCharType="separate"/>
          </w:r>
          <w:r>
            <w:rPr>
              <w:rStyle w:val="14"/>
            </w:rPr>
            <w:t>7.1团队简介</w:t>
          </w:r>
          <w:r>
            <w:tab/>
          </w:r>
          <w:r>
            <w:fldChar w:fldCharType="begin"/>
          </w:r>
          <w:r>
            <w:instrText xml:space="preserve"> PAGEREF _Toc137328547 \h </w:instrText>
          </w:r>
          <w:r>
            <w:fldChar w:fldCharType="separate"/>
          </w:r>
          <w:r>
            <w:t>20</w:t>
          </w:r>
          <w:r>
            <w:fldChar w:fldCharType="end"/>
          </w:r>
          <w:r>
            <w:fldChar w:fldCharType="end"/>
          </w:r>
        </w:p>
        <w:p>
          <w:pPr>
            <w:pStyle w:val="10"/>
            <w:tabs>
              <w:tab w:val="right" w:leader="dot" w:pos="8296"/>
            </w:tabs>
            <w:ind w:left="480"/>
            <w:rPr>
              <w:rFonts w:asciiTheme="minorHAnsi" w:hAnsiTheme="minorHAnsi" w:eastAsiaTheme="minorEastAsia"/>
              <w:sz w:val="21"/>
              <w14:ligatures w14:val="standardContextual"/>
            </w:rPr>
          </w:pPr>
          <w:r>
            <w:fldChar w:fldCharType="begin"/>
          </w:r>
          <w:r>
            <w:instrText xml:space="preserve"> HYPERLINK \l "_Toc137328548" </w:instrText>
          </w:r>
          <w:r>
            <w:fldChar w:fldCharType="separate"/>
          </w:r>
          <w:r>
            <w:rPr>
              <w:rStyle w:val="14"/>
            </w:rPr>
            <w:t>7.2专家顾问团</w:t>
          </w:r>
          <w:r>
            <w:tab/>
          </w:r>
          <w:r>
            <w:fldChar w:fldCharType="begin"/>
          </w:r>
          <w:r>
            <w:instrText xml:space="preserve"> PAGEREF _Toc137328548 \h </w:instrText>
          </w:r>
          <w:r>
            <w:fldChar w:fldCharType="separate"/>
          </w:r>
          <w:r>
            <w:t>21</w:t>
          </w:r>
          <w:r>
            <w:fldChar w:fldCharType="end"/>
          </w:r>
          <w:r>
            <w:fldChar w:fldCharType="end"/>
          </w:r>
        </w:p>
        <w:p>
          <w:r>
            <w:rPr>
              <w:b/>
              <w:bCs/>
              <w:lang w:val="zh-CN"/>
            </w:rPr>
            <w:fldChar w:fldCharType="end"/>
          </w:r>
        </w:p>
      </w:sdtContent>
    </w:sdt>
    <w:p>
      <w:pPr>
        <w:widowControl/>
        <w:jc w:val="left"/>
        <w:rPr>
          <w:rFonts w:ascii="黑体" w:hAnsi="黑体" w:eastAsia="黑体" w:cs="黑体"/>
          <w:sz w:val="32"/>
          <w:szCs w:val="32"/>
        </w:rPr>
      </w:pPr>
      <w:r>
        <w:rPr>
          <w:rFonts w:ascii="黑体" w:hAnsi="黑体" w:eastAsia="黑体" w:cs="黑体"/>
          <w:sz w:val="32"/>
          <w:szCs w:val="32"/>
        </w:rPr>
        <w:br w:type="page"/>
      </w:r>
    </w:p>
    <w:p>
      <w:pPr>
        <w:pStyle w:val="2"/>
      </w:pPr>
      <w:bookmarkStart w:id="0" w:name="_Toc137328510"/>
      <w:r>
        <w:rPr>
          <w:rFonts w:hint="eastAsia"/>
        </w:rPr>
        <w:t>第一章 执行总结</w:t>
      </w:r>
      <w:bookmarkEnd w:id="0"/>
    </w:p>
    <w:p>
      <w:pPr>
        <w:pStyle w:val="3"/>
      </w:pPr>
      <w:bookmarkStart w:id="1" w:name="_Toc137328511"/>
      <w:r>
        <w:rPr>
          <w:rFonts w:hint="eastAsia"/>
        </w:rPr>
        <w:t>1</w:t>
      </w:r>
      <w:r>
        <w:t>.1</w:t>
      </w:r>
      <w:r>
        <w:rPr>
          <w:rFonts w:hint="eastAsia"/>
        </w:rPr>
        <w:t>项目背景</w:t>
      </w:r>
      <w:bookmarkEnd w:id="1"/>
    </w:p>
    <w:p>
      <w:pPr>
        <w:pStyle w:val="4"/>
      </w:pPr>
      <w:bookmarkStart w:id="2" w:name="_Toc137328512"/>
      <w:r>
        <w:rPr>
          <w:rFonts w:hint="eastAsia"/>
        </w:rPr>
        <w:t>1</w:t>
      </w:r>
      <w:r>
        <w:t>.1.1</w:t>
      </w:r>
      <w:r>
        <w:rPr>
          <w:rFonts w:hint="eastAsia"/>
          <w:bCs w:val="0"/>
        </w:rPr>
        <w:t>城市化</w:t>
      </w:r>
      <w:r>
        <w:rPr>
          <w:rFonts w:hint="eastAsia"/>
        </w:rPr>
        <w:t>进程矛盾显著</w:t>
      </w:r>
      <w:bookmarkEnd w:id="2"/>
    </w:p>
    <w:p>
      <w:r>
        <w:tab/>
      </w:r>
      <w:r>
        <w:rPr>
          <w:rFonts w:hint="eastAsia"/>
        </w:rPr>
        <w:t>现代化的进行必然伴随着工业化和城市化的发展。随着城市规模的扩大以及城市数量的增长，城市耗能量日益增加，</w:t>
      </w:r>
      <w:r>
        <w:t>由于城市内部能源资源禀赋不足，能源需求缺口较大。</w:t>
      </w:r>
      <w:r>
        <w:rPr>
          <w:rFonts w:hint="eastAsia"/>
        </w:rPr>
        <w:t>城市的光污染问题，高楼林立所带来的城市绿化光能利用率低下问题以及水资源回收利用率低下所导致的城市水资源短期等问题日益显著，亟待解决。</w:t>
      </w:r>
    </w:p>
    <w:p>
      <w:pPr>
        <w:pStyle w:val="4"/>
      </w:pPr>
      <w:bookmarkStart w:id="3" w:name="_Toc137328513"/>
      <w:r>
        <w:rPr>
          <w:rFonts w:hint="eastAsia"/>
        </w:rPr>
        <w:t>1</w:t>
      </w:r>
      <w:r>
        <w:t>.1.2</w:t>
      </w:r>
      <w:r>
        <w:rPr>
          <w:rFonts w:hint="eastAsia"/>
        </w:rPr>
        <w:t>“双碳”目标任重道远</w:t>
      </w:r>
      <w:bookmarkEnd w:id="3"/>
    </w:p>
    <w:p>
      <w:r>
        <w:tab/>
      </w:r>
      <w:r>
        <w:rPr>
          <w:rFonts w:hint="eastAsia"/>
        </w:rPr>
        <w:t>2020年9月22日，中国在第75届联合国大会上正式提出2030年实现碳达峰，2060年实现碳中和的目标。建筑业作为中国碳排放第一大产业，2</w:t>
      </w:r>
      <w:r>
        <w:t>022</w:t>
      </w:r>
      <w:r>
        <w:rPr>
          <w:rFonts w:hint="eastAsia"/>
        </w:rPr>
        <w:t>年，全国建筑运行阶段碳排放为2</w:t>
      </w:r>
      <w:r>
        <w:t>1.6</w:t>
      </w:r>
      <w:r>
        <w:rPr>
          <w:rFonts w:hint="eastAsia"/>
        </w:rPr>
        <w:t>亿t</w:t>
      </w:r>
      <w:r>
        <w:t>CO2</w:t>
      </w:r>
      <w:r>
        <w:rPr>
          <w:rFonts w:hint="eastAsia"/>
        </w:rPr>
        <w:t>，如何实现建筑业如期碳达峰面临重大挑战。</w:t>
      </w:r>
    </w:p>
    <w:p>
      <w:pPr>
        <w:pStyle w:val="4"/>
      </w:pPr>
      <w:bookmarkStart w:id="4" w:name="_Toc137328514"/>
      <w:r>
        <w:rPr>
          <w:rFonts w:hint="eastAsia"/>
        </w:rPr>
        <w:t>1</w:t>
      </w:r>
      <w:r>
        <w:t xml:space="preserve">.1.3 </w:t>
      </w:r>
      <w:r>
        <w:rPr>
          <w:rFonts w:hint="eastAsia"/>
        </w:rPr>
        <w:t>新能源体系形成面临困境</w:t>
      </w:r>
      <w:bookmarkEnd w:id="4"/>
    </w:p>
    <w:p>
      <w:r>
        <w:tab/>
      </w:r>
      <w:r>
        <w:t>能源“不可能三角”理论</w:t>
      </w:r>
      <w:r>
        <w:rPr>
          <w:rFonts w:hint="eastAsia"/>
        </w:rPr>
        <w:t>对</w:t>
      </w:r>
      <w:r>
        <w:t>实现经济社会绿色发展转型，能源清洁绿色转型</w:t>
      </w:r>
      <w:r>
        <w:rPr>
          <w:rFonts w:hint="eastAsia"/>
        </w:rPr>
        <w:t>提出了巨大挑战。如何保障绿色能源有效稳定供应成为我国构建新能源体系必须解决的问题。</w:t>
      </w:r>
    </w:p>
    <w:p>
      <w:pPr>
        <w:pStyle w:val="3"/>
      </w:pPr>
      <w:bookmarkStart w:id="5" w:name="_Toc137328515"/>
      <w:r>
        <w:rPr>
          <w:rFonts w:hint="eastAsia"/>
        </w:rPr>
        <w:t>1</w:t>
      </w:r>
      <w:r>
        <w:t>.2</w:t>
      </w:r>
      <w:r>
        <w:rPr>
          <w:rFonts w:hint="eastAsia"/>
        </w:rPr>
        <w:t>项目概述</w:t>
      </w:r>
      <w:bookmarkEnd w:id="5"/>
    </w:p>
    <w:p>
      <w:pPr>
        <w:ind w:firstLine="360"/>
      </w:pPr>
      <w:r>
        <w:rPr>
          <w:rFonts w:hint="eastAsia"/>
          <w:b/>
          <w:bCs/>
        </w:rPr>
        <w:t>E</w:t>
      </w:r>
      <w:r>
        <w:rPr>
          <w:b/>
          <w:bCs/>
        </w:rPr>
        <w:t>-Glass</w:t>
      </w:r>
      <w:r>
        <w:rPr>
          <w:rFonts w:hint="eastAsia"/>
          <w:b/>
          <w:bCs/>
        </w:rPr>
        <w:t>是一款聚焦于城市光能高效利用与水资源循环回收的智能控制系统，</w:t>
      </w:r>
      <w:r>
        <w:rPr>
          <w:rFonts w:hint="eastAsia"/>
        </w:rPr>
        <w:t>借助“互联网＋”技术，结合AI算法与微集成技术等前沿技术手段，通过建筑外墙玻璃实现高效葡萄糖产出，为能源产量与产率问题，水资源问题，城市光污染问题，传统能源输送损耗问题，能源利用安全问题提供全套解决方案。助力城市发展与智能化演变。</w:t>
      </w:r>
    </w:p>
    <w:p>
      <w:pPr>
        <w:ind w:firstLine="360"/>
      </w:pPr>
      <w:r>
        <w:rPr>
          <w:rFonts w:hint="eastAsia"/>
        </w:rPr>
        <w:t>E-Glass以</w:t>
      </w:r>
      <w:r>
        <w:rPr>
          <w:rFonts w:hint="eastAsia"/>
          <w:b/>
          <w:bCs/>
        </w:rPr>
        <w:t>超高效光合模块，水资源循环系统，微型智能控制系统</w:t>
      </w:r>
      <w:r>
        <w:rPr>
          <w:rFonts w:hint="eastAsia"/>
        </w:rPr>
        <w:t>为核心，将三者有机集成在玻璃中从而在建筑外墙大规模使用，实现超过9</w:t>
      </w:r>
      <w:r>
        <w:t>0%</w:t>
      </w:r>
      <w:r>
        <w:rPr>
          <w:rFonts w:hint="eastAsia"/>
        </w:rPr>
        <w:t>的光能利用与超净水资源回收。E-Glass的微型智能控制系统以微型芯片为核心，基于新兴深度学习等技术开发，实时智能感知不同环境状态并对光反应模块和水资源收集系统进行调节。整块玻璃只需要利用城市废气中的二氧化碳，通过收集外墙水分便可实现葡萄糖高效合成，同时还伴随超净水的产出。此外，微型集成技术使得整个玻璃在提高整个系统工作效率的同时实现低成本化和低耗能化，真正做到普适大众。我们通过合成生物学，微电子学，MEMS系统等多学科深度融合制造低成本、高技术壁垒的新型人工光合玻璃，高效完成“碳中和”“碳达峰”目标，使得清洁能源真正走进千家万户并广泛应用于各行各业，解决社会与城市发展中面临的主要难题，显著提高人民居住的便捷性与舒适度。</w:t>
      </w:r>
    </w:p>
    <w:p>
      <w:pPr>
        <w:ind w:firstLine="360"/>
      </w:pPr>
      <w:r>
        <w:rPr>
          <w:rFonts w:hint="eastAsia"/>
        </w:rPr>
        <w:t>团队核心成员曾在N</w:t>
      </w:r>
      <w:r>
        <w:t>ASA</w:t>
      </w:r>
      <w:r>
        <w:rPr>
          <w:rFonts w:hint="eastAsia"/>
        </w:rPr>
        <w:t>资助下从事相关领域研究六年之久，项目现有技术属于N</w:t>
      </w:r>
      <w:r>
        <w:t>ASA</w:t>
      </w:r>
      <w:r>
        <w:rPr>
          <w:rFonts w:hint="eastAsia"/>
        </w:rPr>
        <w:t>火星计划尖端核心技术，相关成果曾在奥巴马时期被奥巴马总统于美国国家战略安全系统大会（N</w:t>
      </w:r>
      <w:r>
        <w:t>SS</w:t>
      </w:r>
      <w:r>
        <w:rPr>
          <w:rFonts w:hint="eastAsia"/>
        </w:rPr>
        <w:t>）上点名表扬。</w:t>
      </w:r>
    </w:p>
    <w:p>
      <w:pPr>
        <w:pStyle w:val="3"/>
      </w:pPr>
      <w:bookmarkStart w:id="6" w:name="_Toc137328516"/>
      <w:r>
        <w:rPr>
          <w:rFonts w:hint="eastAsia"/>
        </w:rPr>
        <w:t>1</w:t>
      </w:r>
      <w:r>
        <w:t>.3</w:t>
      </w:r>
      <w:r>
        <w:rPr>
          <w:rFonts w:hint="eastAsia"/>
        </w:rPr>
        <w:t>市场与竞争分析</w:t>
      </w:r>
      <w:bookmarkEnd w:id="6"/>
    </w:p>
    <w:p>
      <w:r>
        <w:tab/>
      </w:r>
      <w:r>
        <w:rPr>
          <w:rFonts w:hint="eastAsia"/>
        </w:rPr>
        <w:t>产品在建筑自产能领域效益约为光伏玻璃的九倍，和光伏发电站比，光能利用率约为其三倍且无需额外占地，实现了能源自产自销，避免了输运过程中的能量损耗。摆脱了农作物生长发育过程中对水资源和能量的大量消耗，初步估算，5</w:t>
      </w:r>
      <w:r>
        <w:t>0</w:t>
      </w:r>
      <w:r>
        <w:rPr>
          <w:rFonts w:hint="eastAsia"/>
        </w:rPr>
        <w:t>层建筑配备E</w:t>
      </w:r>
      <w:r>
        <w:t>-G</w:t>
      </w:r>
      <w:r>
        <w:rPr>
          <w:rFonts w:hint="eastAsia"/>
        </w:rPr>
        <w:t>l</w:t>
      </w:r>
      <w:r>
        <w:t>ass</w:t>
      </w:r>
      <w:r>
        <w:rPr>
          <w:rFonts w:hint="eastAsia"/>
        </w:rPr>
        <w:t>系统后，葡萄糖产能约为同等占地面积农田的1</w:t>
      </w:r>
      <w:r>
        <w:t>500</w:t>
      </w:r>
      <w:r>
        <w:rPr>
          <w:rFonts w:hint="eastAsia"/>
        </w:rPr>
        <w:t>倍，且无需消耗水资源。</w:t>
      </w:r>
    </w:p>
    <w:p>
      <w:pPr>
        <w:pStyle w:val="3"/>
      </w:pPr>
      <w:bookmarkStart w:id="7" w:name="_Toc137328517"/>
      <w:r>
        <w:t>1.4</w:t>
      </w:r>
      <w:r>
        <w:rPr>
          <w:rFonts w:hint="eastAsia"/>
        </w:rPr>
        <w:t>战略目标和规划</w:t>
      </w:r>
      <w:bookmarkEnd w:id="7"/>
    </w:p>
    <w:p>
      <w:r>
        <w:tab/>
      </w:r>
      <w:r>
        <w:t>E-G</w:t>
      </w:r>
      <w:r>
        <w:rPr>
          <w:rFonts w:hint="eastAsia"/>
        </w:rPr>
        <w:t>lass的初步战略目标是建立成熟的单建筑人工光合系统，实现对建筑自产能的智能调控以及产物和高层水资源的回收分离，占据建筑玻璃市场。第二步，拓展光合平台智能控制系统为智慧建筑控制系统，实现基于E</w:t>
      </w:r>
      <w:r>
        <w:t>-Glass</w:t>
      </w:r>
      <w:r>
        <w:rPr>
          <w:rFonts w:hint="eastAsia"/>
        </w:rPr>
        <w:t>的智慧建筑体系和城市综合能源服务平台。在项目进一步成熟且占据足够市场份额后，E</w:t>
      </w:r>
      <w:r>
        <w:t>-G</w:t>
      </w:r>
      <w:r>
        <w:rPr>
          <w:rFonts w:hint="eastAsia"/>
        </w:rPr>
        <w:t>l</w:t>
      </w:r>
      <w:r>
        <w:t>ass</w:t>
      </w:r>
      <w:r>
        <w:rPr>
          <w:rFonts w:hint="eastAsia"/>
        </w:rPr>
        <w:t>将引领城市零碳思维，利用E</w:t>
      </w:r>
      <w:r>
        <w:t>-Glass</w:t>
      </w:r>
      <w:r>
        <w:rPr>
          <w:rFonts w:hint="eastAsia"/>
        </w:rPr>
        <w:t>的影响在城市布局的过程中，优先考虑建筑的光能利用效率以及光能产物的输运问题，实现基于E</w:t>
      </w:r>
      <w:r>
        <w:t>-Glass</w:t>
      </w:r>
      <w:r>
        <w:rPr>
          <w:rFonts w:hint="eastAsia"/>
        </w:rPr>
        <w:t>的城市布局，为未来的太空时代作准备。</w:t>
      </w:r>
    </w:p>
    <w:p>
      <w:pPr>
        <w:pStyle w:val="2"/>
      </w:pPr>
      <w:bookmarkStart w:id="8" w:name="_Toc137328518"/>
      <w:r>
        <w:rPr>
          <w:rFonts w:hint="eastAsia"/>
        </w:rPr>
        <w:t>第二章 项目背景</w:t>
      </w:r>
      <w:bookmarkEnd w:id="8"/>
    </w:p>
    <w:p>
      <w:pPr>
        <w:ind w:firstLine="420"/>
        <w:rPr>
          <w:szCs w:val="21"/>
        </w:rPr>
      </w:pPr>
      <w:r>
        <w:rPr>
          <w:rFonts w:hint="eastAsia"/>
          <w:szCs w:val="21"/>
        </w:rPr>
        <w:t>现代化的进程很大程度上可以看作工业化和城市化的进程。随着城市的快速扩张，城市发展带来的问题也逐渐凸突显出来。E-</w:t>
      </w:r>
      <w:r>
        <w:rPr>
          <w:szCs w:val="21"/>
        </w:rPr>
        <w:t>Glass</w:t>
      </w:r>
      <w:r>
        <w:rPr>
          <w:rFonts w:hint="eastAsia"/>
          <w:szCs w:val="21"/>
        </w:rPr>
        <w:t>恰好直击这些痛点：</w:t>
      </w:r>
    </w:p>
    <w:p>
      <w:pPr>
        <w:pStyle w:val="3"/>
      </w:pPr>
      <w:bookmarkStart w:id="9" w:name="_Toc137328519"/>
      <w:r>
        <w:rPr>
          <w:rFonts w:hint="eastAsia" w:ascii="宋体" w:hAnsi="宋体"/>
        </w:rPr>
        <w:t>2</w:t>
      </w:r>
      <w:r>
        <w:rPr>
          <w:rFonts w:ascii="宋体" w:hAnsi="宋体"/>
        </w:rPr>
        <w:t>.1</w:t>
      </w:r>
      <w:r>
        <w:rPr>
          <w:rFonts w:hint="eastAsia"/>
        </w:rPr>
        <w:t>巨大耗能量与产能不足</w:t>
      </w:r>
      <w:bookmarkEnd w:id="9"/>
    </w:p>
    <w:p>
      <w:pPr>
        <w:ind w:firstLine="420"/>
      </w:pPr>
      <w:r>
        <w:rPr>
          <w:rFonts w:hint="eastAsia"/>
        </w:rPr>
        <w:t>城市耗能量日益增加，但是依据城市规划，绝大多数城市能源依赖于其他地区的输送，因此大量能量在运输过程中流失。</w:t>
      </w:r>
    </w:p>
    <w:p>
      <w:pPr>
        <w:ind w:firstLine="420"/>
      </w:pPr>
      <w:r>
        <w:t>在中国能源研究会智慧能源与产业零碳化发展专委会秘书长鲁刚看来，我国大部分城市能源资源供需矛盾较为突出，绝大部分能源需要从城市外部输入。我国城市能源消费在空间分布上呈现出明显的集聚特征，城市能源消费集中在东部沿海发达地区和区域中心城市，特别是以长三角、珠三角、京津冀为代表的大型城市群能源消费高度集中。由于城市内部能源资源禀赋不足，能源需求缺口较大。</w:t>
      </w:r>
    </w:p>
    <w:p>
      <w:pPr>
        <w:ind w:firstLine="420"/>
      </w:pPr>
      <w:r>
        <w:rPr>
          <w:rFonts w:hint="eastAsia"/>
        </w:rPr>
        <w:t>通过高压线缆输送，大部分电能在输送过程中损耗，因此城市的巨大耗能量和产能严重不足之间的矛盾显著。当前解决方案主要为从外地输入，导致能源利用率降低，资源得不到最大化综合利用。</w:t>
      </w:r>
    </w:p>
    <w:p>
      <w:pPr>
        <w:ind w:firstLine="420"/>
      </w:pPr>
      <w:r>
        <w:rPr>
          <w:rFonts w:hint="eastAsia"/>
        </w:rPr>
        <w:t>E-Glass</w:t>
      </w:r>
      <w:r>
        <w:t xml:space="preserve"> </w:t>
      </w:r>
      <w:r>
        <w:rPr>
          <w:rFonts w:hint="eastAsia"/>
        </w:rPr>
        <w:t>通过在各种建筑表面大规模覆盖，基本实现能源即产即用。基本省去输能步骤，进一步提高了其无可比拟的能源利用率。</w:t>
      </w:r>
    </w:p>
    <w:p>
      <w:pPr>
        <w:pStyle w:val="3"/>
      </w:pPr>
      <w:bookmarkStart w:id="10" w:name="_Toc137328520"/>
      <w:r>
        <w:rPr>
          <w:rFonts w:hint="eastAsia" w:ascii="宋体" w:hAnsi="宋体"/>
        </w:rPr>
        <w:t>2</w:t>
      </w:r>
      <w:r>
        <w:rPr>
          <w:rFonts w:ascii="宋体" w:hAnsi="宋体"/>
        </w:rPr>
        <w:t>.2</w:t>
      </w:r>
      <w:r>
        <w:rPr>
          <w:rFonts w:hint="eastAsia"/>
        </w:rPr>
        <w:t>城市扩张与耕地减少矛盾</w:t>
      </w:r>
      <w:bookmarkEnd w:id="10"/>
    </w:p>
    <w:p>
      <w:pPr>
        <w:ind w:firstLine="420"/>
      </w:pPr>
      <w:r>
        <w:rPr>
          <w:rFonts w:hint="eastAsia"/>
        </w:rPr>
        <w:t>城市面积不断扩张，与此同时耕地红线逐渐逼近。为了满足人民基本的粮食需求，耕地面积不容减少。于此同时，最大效率的提高耕地产量成为了解决该问题的主要途径。</w:t>
      </w:r>
    </w:p>
    <w:p>
      <w:pPr>
        <w:ind w:firstLine="420"/>
      </w:pPr>
      <w:r>
        <w:rPr>
          <w:rFonts w:hint="eastAsia"/>
        </w:rPr>
        <w:t>E-</w:t>
      </w:r>
      <w:r>
        <w:t>Glass</w:t>
      </w:r>
      <w:r>
        <w:rPr>
          <w:rFonts w:hint="eastAsia"/>
        </w:rPr>
        <w:t>则从另一方面着手，通过城市外墙玻璃产生大量葡萄糖等基础有机物，使其可作为人类生存能量来源的一大备选方案；为城市扩张，城乡融合解决了重要难题。</w:t>
      </w:r>
    </w:p>
    <w:p>
      <w:pPr>
        <w:pStyle w:val="3"/>
      </w:pPr>
      <w:bookmarkStart w:id="11" w:name="_Toc137328521"/>
      <w:r>
        <w:rPr>
          <w:rFonts w:hint="eastAsia" w:ascii="宋体" w:hAnsi="宋体"/>
        </w:rPr>
        <w:t>2</w:t>
      </w:r>
      <w:r>
        <w:rPr>
          <w:rFonts w:ascii="宋体" w:hAnsi="宋体"/>
        </w:rPr>
        <w:t>.3</w:t>
      </w:r>
      <w:r>
        <w:rPr>
          <w:rFonts w:hint="eastAsia"/>
        </w:rPr>
        <w:t>城市环境污染问题无法根治</w:t>
      </w:r>
      <w:bookmarkEnd w:id="11"/>
    </w:p>
    <w:p>
      <w:pPr>
        <w:ind w:firstLine="420"/>
      </w:pPr>
      <w:r>
        <w:rPr>
          <w:rFonts w:hint="eastAsia"/>
        </w:rPr>
        <w:t>由于工业结构不断优化，城市规划不断改善，工厂等高污染建筑逐渐实现迭代，城市化学污染逐渐缓解。目前最突出的城市污染问题是城市碳排放与光污染问题。</w:t>
      </w:r>
    </w:p>
    <w:p>
      <w:pPr>
        <w:ind w:firstLine="420"/>
      </w:pPr>
      <w:r>
        <w:rPr>
          <w:rFonts w:hint="eastAsia"/>
        </w:rPr>
        <w:t>全球城市地区碳排放量占比大约7</w:t>
      </w:r>
      <w:r>
        <w:t>5%</w:t>
      </w:r>
      <w:r>
        <w:rPr>
          <w:rFonts w:hint="eastAsia"/>
        </w:rPr>
        <w:t>，而我国城市碳排放量占比更是达到了8</w:t>
      </w:r>
      <w:r>
        <w:t>0%</w:t>
      </w:r>
      <w:r>
        <w:rPr>
          <w:rFonts w:hint="eastAsia"/>
        </w:rPr>
        <w:t>左右。主要原因是城市人类活动高度密集，交通集中。与此同时高大建筑对风场有阻碍作用，这使得二氧化碳相对封闭在城市内部。热岛效应十分显著。E-Glass作为人工光合玻璃，二氧化碳是其生产有机物最主要的原料。且由于其在建筑外部大规模覆盖的特性，E-Glass拥有广阔的二氧化碳接触面积，极高地提高了二氧化碳利用率。为人工固碳提供了全新高效的解决方案。</w:t>
      </w:r>
    </w:p>
    <w:p>
      <w:pPr>
        <w:ind w:firstLine="420"/>
      </w:pPr>
      <w:r>
        <w:rPr>
          <w:rFonts w:hint="eastAsia"/>
        </w:rPr>
        <w:t>光污染是继废气，废水，废渣，和噪声污染之后的一种新的环境污染。在日间，玻璃幕墙对太阳光的汇聚效果，严重影响了人们的视线和工作，甚至曾出现建筑聚焦烤化道路的情况。</w:t>
      </w:r>
    </w:p>
    <w:p>
      <w:pPr>
        <w:pStyle w:val="3"/>
      </w:pPr>
      <w:bookmarkStart w:id="12" w:name="_Toc137328522"/>
      <w:r>
        <w:rPr>
          <w:rFonts w:hint="eastAsia" w:ascii="宋体" w:hAnsi="宋体"/>
        </w:rPr>
        <w:t>2</w:t>
      </w:r>
      <w:r>
        <w:rPr>
          <w:rFonts w:ascii="宋体" w:hAnsi="宋体"/>
        </w:rPr>
        <w:t>.4</w:t>
      </w:r>
      <w:r>
        <w:rPr>
          <w:rFonts w:hint="eastAsia"/>
        </w:rPr>
        <w:t>资源利用率有待提高</w:t>
      </w:r>
      <w:bookmarkEnd w:id="12"/>
    </w:p>
    <w:p>
      <w:pPr>
        <w:ind w:firstLine="420"/>
      </w:pPr>
      <w:r>
        <w:rPr>
          <w:rFonts w:hint="eastAsia"/>
        </w:rPr>
        <w:t>城市的主要待开发资源有水资源，光资源等等。然而这二者非但没有有效利用，反而因为没有有效的解决方案而大量流失。</w:t>
      </w:r>
    </w:p>
    <w:p>
      <w:pPr>
        <w:ind w:firstLine="420"/>
        <w:rPr>
          <w:color w:val="FF0000"/>
        </w:rPr>
      </w:pPr>
      <w:r>
        <w:rPr>
          <w:rFonts w:hint="eastAsia"/>
        </w:rPr>
        <w:t>大部分城市低效的水循环系统是导致城市水资源紧缺的重要原因之一，长沙、深圳、青岛、广州等水资源总量和人均水资源量都高居前列的地区均因此出现了水资源短缺的问题。时至今日，依然没有较好的策略实现对建筑露水以及雨水的有效利用。此外，城市化的进行伴随着植被面积的大量减少。高楼林立使得城市绿化相当长的时间处于阴影之中，严重影响了城市光能利用。</w:t>
      </w:r>
    </w:p>
    <w:p>
      <w:pPr>
        <w:pStyle w:val="3"/>
      </w:pPr>
      <w:bookmarkStart w:id="13" w:name="_Toc137328523"/>
      <w:r>
        <w:rPr>
          <w:rFonts w:hint="eastAsia"/>
        </w:rPr>
        <w:t>2</w:t>
      </w:r>
      <w:r>
        <w:t>.5</w:t>
      </w:r>
      <w:r>
        <w:rPr>
          <w:rFonts w:hint="eastAsia"/>
        </w:rPr>
        <w:t>双碳政策呼吁行业发展</w:t>
      </w:r>
      <w:bookmarkEnd w:id="13"/>
    </w:p>
    <w:p>
      <w:pPr>
        <w:ind w:firstLine="360"/>
      </w:pPr>
      <w:r>
        <w:tab/>
      </w:r>
      <w:r>
        <w:t>长期以来，我国农村地区的人口、技术、资金等生产要素源源不断地单向流入城市。实施以城市为主体的碳达峰碳中和战略，有利于发挥中心城市的辐射带动作用，促进新技术新业态新模式发展，促进各城市因地制宜探索碳达峰碳中和实施路径</w:t>
      </w:r>
      <w:r>
        <w:rPr>
          <w:rFonts w:hint="eastAsia"/>
        </w:rPr>
        <w:t>。</w:t>
      </w:r>
    </w:p>
    <w:p>
      <w:pPr>
        <w:ind w:firstLine="360"/>
      </w:pPr>
      <w:r>
        <w:t>能源是支撑国家经济发展、保障人民生活水平的核心基础。随着社会能源需求的不断增长，建设先进的能源系统是实现“双碳”目标、推动城市高质量发展的重要举措。其中，建筑是城市的重要组成部分，建设先进的建筑能源系统是落实城市更新计划、推动城市能源革命的重要抓手。政府各部委先后出台了“关于完整准确全面贯彻新发展理念做 好碳达峰碳中和工作的意见”关于推动城乡建设 绿色发展的意见”十四五”建筑节能与绿色建筑发展规划等一系列政策推动城市建筑的绿色高质量发展，并对高耗能建筑作出了严格管控要求。 根据2021年中国建筑节能协会发布的数据</w:t>
      </w:r>
      <w:r>
        <w:rPr>
          <w:rFonts w:hint="eastAsia"/>
        </w:rPr>
        <w:t>，</w:t>
      </w:r>
      <w:r>
        <w:t>目前建筑全过程能耗总量约占全国能源消费总 量的46. 00%，而建筑物全生命周期碳排放总量占全国碳排放的比重为49. 97%。现阶段，建筑全过程能耗和碳排放呈现一致增长的特点，且全国大部分城市约有 80% 的新建建筑达不到节能标准。建筑能源系统具备较大的节能降碳潜力。因此，在“双碳”目标的指引下，建筑能源系统的绿色化、电气化、低碳化发展将成为我国建筑新建和改造的主流趋势。</w:t>
      </w:r>
    </w:p>
    <w:p>
      <w:pPr>
        <w:pStyle w:val="4"/>
      </w:pPr>
      <w:bookmarkStart w:id="14" w:name="_Toc137328524"/>
      <w:r>
        <w:rPr>
          <w:rFonts w:hint="eastAsia"/>
        </w:rPr>
        <w:t>2</w:t>
      </w:r>
      <w:r>
        <w:t>.6</w:t>
      </w:r>
      <w:r>
        <w:rPr>
          <w:rFonts w:hint="eastAsia"/>
        </w:rPr>
        <w:t>能源行业面临发展瓶颈</w:t>
      </w:r>
      <w:bookmarkEnd w:id="14"/>
    </w:p>
    <w:p>
      <w:pPr>
        <w:ind w:firstLine="360"/>
      </w:pPr>
      <w:r>
        <w:tab/>
      </w:r>
      <w:r>
        <w:rPr>
          <w:rFonts w:hint="eastAsia"/>
        </w:rPr>
        <w:t>在“双碳”政策推行过程中，能源方面有一个重要的</w:t>
      </w:r>
      <w:bookmarkStart w:id="15" w:name="_Hlk137223983"/>
      <w:r>
        <w:t>能源</w:t>
      </w:r>
      <w:r>
        <w:rPr>
          <w:b/>
          <w:bCs/>
        </w:rPr>
        <w:t>“不可能三角”理论</w:t>
      </w:r>
      <w:bookmarkEnd w:id="15"/>
      <w:r>
        <w:rPr>
          <w:rFonts w:hint="eastAsia"/>
          <w:b/>
          <w:bCs/>
        </w:rPr>
        <w:t>。</w:t>
      </w:r>
      <w:r>
        <w:rPr>
          <w:rFonts w:hint="eastAsia"/>
        </w:rPr>
        <w:t>该理论</w:t>
      </w:r>
      <w:r>
        <w:t>认为能源的经济性、清洁性、稳定性三种重要属性难以兼顾，三种属性之间此消彼长的关系主要体现为：能源价格低廉往往建立在能源生产或进口成本较低的基础之上，这在一定程度上抑制了清洁环保投入，或使得化石能源对外依存度上升</w:t>
      </w:r>
      <w:r>
        <w:rPr>
          <w:rFonts w:hint="eastAsia"/>
        </w:rPr>
        <w:t>，</w:t>
      </w:r>
      <w:r>
        <w:t>自主可控能力降低； 能源清洁环保需要建立在生产设备的改造、生产工艺的提升、新型技术的研发以及外部成本内部化之上，这使得能源系统生产流程变得复杂，既有能源供应模式发生改变，从而伴随着能源成本上升，稳定程度下降</w:t>
      </w:r>
      <w:r>
        <w:rPr>
          <w:rFonts w:hint="eastAsia"/>
        </w:rPr>
        <w:t>；</w:t>
      </w:r>
      <w:r>
        <w:t>能源供应稳定需要建立在丰富的系统容量、充裕的储备数量以及完善的产供储销体系之上，这就必然提升能源供应成本，抑制包括环保在内的创新投入。但同时兼顾三种属性是我国能源体系的内在需求和必然选择。在我国开启全面建设社会主义现代化国家新征程、向第二个百年奋斗目标进军的关键时期，能源价格变化将不可避免向全行业产业链下游传导，影响全社会消费能力，对经济发展产生深远影响，因此一定时期内，能源的经济性是“不可能三角”中的“必选项”；实现碳达峰、碳中和是我国向世界作出的庄严承诺，</w:t>
      </w:r>
      <w:bookmarkStart w:id="16" w:name="_Hlk137224028"/>
      <w:r>
        <w:t>为实现经济社会绿色发展转型，能源清洁绿色转型</w:t>
      </w:r>
      <w:bookmarkEnd w:id="16"/>
      <w:r>
        <w:t>是我国能源体系发展的必由之路和关键一步，因此在“双碳”背景下，能源的清洁性也是“不可能三角”中的“必选项”；当前国际环境严峻复杂，外生冲击不断，给我国能源供应带来风险，因此在可预见的未来，能源的稳定性更是“不可能三角”中的“必选项”。</w:t>
      </w:r>
    </w:p>
    <w:p>
      <w:pPr>
        <w:ind w:firstLine="360"/>
      </w:pPr>
      <w:r>
        <w:t>我国能源体系面临</w:t>
      </w:r>
      <w:r>
        <w:rPr>
          <w:b/>
          <w:bCs/>
        </w:rPr>
        <w:t>三重关键约束，</w:t>
      </w:r>
      <w:r>
        <w:t>分别为“长期约束”“补充约束”和“刚性约束”。首先，党的二十大报告指出，“发展是党执政兴国的第一要务”。经济增长在一定时期内仍然是我国国民经济发展的重要目标。为维持一定经济增速，需要我国能够以合理的能源价格和稳定的能源供应保障工业、农业等各领域生产。因此经济增长目标构成我国能源体系经济性和稳定性的“</w:t>
      </w:r>
      <w:r>
        <w:rPr>
          <w:b/>
          <w:bCs/>
        </w:rPr>
        <w:t>长期约束”</w:t>
      </w:r>
      <w:r>
        <w:t>；其次，经济社会绿色转型是经济高质量发展的必由之路，“双碳”背景下，我国经济增长模式将稳步向绿色、低碳、环保过渡。因此绿色低碳转型目标构成我国能源体系清洁性的</w:t>
      </w:r>
      <w:r>
        <w:rPr>
          <w:b/>
          <w:bCs/>
        </w:rPr>
        <w:t>“补充约束”</w:t>
      </w:r>
      <w:r>
        <w:t>；最后，当前国际国内形势严峻复杂，实现能源体系安全可控成为世界各国的优先考量，我国应确保在受到外部冲击时的能源稳定供应。因此国家安全目标构成我国能源体系稳定性的</w:t>
      </w:r>
      <w:r>
        <w:rPr>
          <w:b/>
          <w:bCs/>
        </w:rPr>
        <w:t>“刚性约束”</w:t>
      </w:r>
      <w:r>
        <w:rPr>
          <w:rFonts w:hint="eastAsia"/>
        </w:rPr>
        <w:t>。</w:t>
      </w:r>
    </w:p>
    <w:p>
      <w:pPr>
        <w:ind w:firstLine="360"/>
      </w:pPr>
      <w:r>
        <w:rPr>
          <w:rFonts w:hint="eastAsia"/>
        </w:rPr>
        <w:t>据调研，我国能源体系目前在三重关键约束下同时实现三个必选项面临下列几个问题：可再生能源对能源消费支撑力不足，化石能源消费仍占据能源消费主体；制造业发展受能源价格波动影响大，习惯依靠廉价能源压低成本参与市场竞争；对外依赖过强给能源安全带来隐患，进口大量化石能源。</w:t>
      </w:r>
    </w:p>
    <w:p>
      <w:pPr>
        <w:widowControl/>
        <w:jc w:val="left"/>
      </w:pPr>
      <w:r>
        <w:br w:type="page"/>
      </w:r>
    </w:p>
    <w:p>
      <w:pPr>
        <w:pStyle w:val="2"/>
      </w:pPr>
      <w:bookmarkStart w:id="17" w:name="_Toc137328525"/>
      <w:r>
        <w:rPr>
          <w:rFonts w:hint="eastAsia"/>
        </w:rPr>
        <w:t>第三章 项目介绍</w:t>
      </w:r>
      <w:bookmarkEnd w:id="17"/>
    </w:p>
    <w:p>
      <w:pPr>
        <w:jc w:val="center"/>
      </w:pPr>
      <w:r>
        <w:rPr>
          <w:rFonts w:ascii="仿宋" w:hAnsi="仿宋" w:eastAsia="仿宋" w:cs="宋体"/>
          <w:spacing w:val="2"/>
        </w:rPr>
        <w:drawing>
          <wp:inline distT="0" distB="0" distL="0" distR="0">
            <wp:extent cx="3987800" cy="2375535"/>
            <wp:effectExtent l="0" t="0" r="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97981" cy="2382181"/>
                    </a:xfrm>
                    <a:prstGeom prst="rect">
                      <a:avLst/>
                    </a:prstGeom>
                  </pic:spPr>
                </pic:pic>
              </a:graphicData>
            </a:graphic>
          </wp:inline>
        </w:drawing>
      </w:r>
    </w:p>
    <w:p>
      <w:pPr>
        <w:jc w:val="center"/>
      </w:pPr>
      <w:r>
        <w:rPr>
          <w:rFonts w:hint="eastAsia"/>
          <w:sz w:val="21"/>
          <w:szCs w:val="20"/>
        </w:rPr>
        <w:t>图3</w:t>
      </w:r>
      <w:r>
        <w:rPr>
          <w:sz w:val="21"/>
          <w:szCs w:val="20"/>
        </w:rPr>
        <w:t xml:space="preserve">.1 </w:t>
      </w:r>
      <w:r>
        <w:rPr>
          <w:rFonts w:hint="eastAsia"/>
          <w:sz w:val="21"/>
          <w:szCs w:val="20"/>
        </w:rPr>
        <w:t>E</w:t>
      </w:r>
      <w:r>
        <w:rPr>
          <w:sz w:val="21"/>
          <w:szCs w:val="20"/>
        </w:rPr>
        <w:t>-G</w:t>
      </w:r>
      <w:r>
        <w:rPr>
          <w:rFonts w:hint="eastAsia"/>
          <w:sz w:val="21"/>
          <w:szCs w:val="20"/>
        </w:rPr>
        <w:t>las</w:t>
      </w:r>
      <w:r>
        <w:rPr>
          <w:sz w:val="21"/>
          <w:szCs w:val="20"/>
        </w:rPr>
        <w:t>s</w:t>
      </w:r>
      <w:r>
        <w:rPr>
          <w:rFonts w:hint="eastAsia"/>
          <w:sz w:val="21"/>
          <w:szCs w:val="20"/>
        </w:rPr>
        <w:t>模型示意图</w:t>
      </w:r>
    </w:p>
    <w:p>
      <w:pPr>
        <w:ind w:firstLine="420"/>
        <w:rPr>
          <w:rFonts w:hint="eastAsia" w:ascii="MicrosoftYaHei" w:hAnsi="MicrosoftYaHei"/>
          <w:color w:val="333333"/>
          <w:spacing w:val="8"/>
          <w:shd w:val="clear" w:color="auto" w:fill="F8F9F9"/>
        </w:rPr>
      </w:pPr>
      <w:r>
        <w:rPr>
          <w:rFonts w:ascii="MicrosoftYaHei" w:hAnsi="MicrosoftYaHei"/>
          <w:color w:val="333333"/>
          <w:spacing w:val="8"/>
          <w:shd w:val="clear" w:color="auto" w:fill="F8F9F9"/>
        </w:rPr>
        <w:t>E-Glass</w:t>
      </w:r>
      <w:r>
        <w:rPr>
          <w:rFonts w:hint="eastAsia" w:ascii="MicrosoftYaHei" w:hAnsi="MicrosoftYaHei"/>
          <w:color w:val="333333"/>
          <w:spacing w:val="8"/>
          <w:shd w:val="clear" w:color="auto" w:fill="F8F9F9"/>
        </w:rPr>
        <w:t>正是面对城市化进程中出现的诸多严峻危机而提出的未来建筑改造方案。它可以利用B</w:t>
      </w:r>
      <w:r>
        <w:rPr>
          <w:rFonts w:ascii="MicrosoftYaHei" w:hAnsi="MicrosoftYaHei"/>
          <w:color w:val="333333"/>
          <w:spacing w:val="8"/>
          <w:shd w:val="clear" w:color="auto" w:fill="F8F9F9"/>
        </w:rPr>
        <w:t>io-MEMS</w:t>
      </w:r>
      <w:r>
        <w:rPr>
          <w:rFonts w:hint="eastAsia" w:ascii="MicrosoftYaHei" w:hAnsi="MicrosoftYaHei"/>
          <w:color w:val="333333"/>
          <w:spacing w:val="8"/>
          <w:shd w:val="clear" w:color="auto" w:fill="F8F9F9"/>
        </w:rPr>
        <w:t>微流控系统收集雨露；利用合成生物学人工囊泡，将收集的露水和二氧化碳合成为葡萄糖；利用集成电路控制系统，实现对E</w:t>
      </w:r>
      <w:r>
        <w:rPr>
          <w:rFonts w:ascii="MicrosoftYaHei" w:hAnsi="MicrosoftYaHei"/>
          <w:color w:val="333333"/>
          <w:spacing w:val="8"/>
          <w:shd w:val="clear" w:color="auto" w:fill="F8F9F9"/>
        </w:rPr>
        <w:t>-G</w:t>
      </w:r>
      <w:r>
        <w:rPr>
          <w:rFonts w:hint="eastAsia" w:ascii="MicrosoftYaHei" w:hAnsi="MicrosoftYaHei"/>
          <w:color w:val="333333"/>
          <w:spacing w:val="8"/>
          <w:shd w:val="clear" w:color="auto" w:fill="F8F9F9"/>
        </w:rPr>
        <w:t>la</w:t>
      </w:r>
      <w:r>
        <w:rPr>
          <w:rFonts w:ascii="MicrosoftYaHei" w:hAnsi="MicrosoftYaHei"/>
          <w:color w:val="333333"/>
          <w:spacing w:val="8"/>
          <w:shd w:val="clear" w:color="auto" w:fill="F8F9F9"/>
        </w:rPr>
        <w:t>ss</w:t>
      </w:r>
      <w:r>
        <w:rPr>
          <w:rFonts w:hint="eastAsia" w:ascii="MicrosoftYaHei" w:hAnsi="MicrosoftYaHei"/>
          <w:color w:val="333333"/>
          <w:spacing w:val="8"/>
          <w:shd w:val="clear" w:color="auto" w:fill="F8F9F9"/>
        </w:rPr>
        <w:t>工作状态的智能调节。在这个过程中E</w:t>
      </w:r>
      <w:r>
        <w:rPr>
          <w:rFonts w:ascii="MicrosoftYaHei" w:hAnsi="MicrosoftYaHei"/>
          <w:color w:val="333333"/>
          <w:spacing w:val="8"/>
          <w:shd w:val="clear" w:color="auto" w:fill="F8F9F9"/>
        </w:rPr>
        <w:t>-G</w:t>
      </w:r>
      <w:r>
        <w:rPr>
          <w:rFonts w:hint="eastAsia" w:ascii="MicrosoftYaHei" w:hAnsi="MicrosoftYaHei"/>
          <w:color w:val="333333"/>
          <w:spacing w:val="8"/>
          <w:shd w:val="clear" w:color="auto" w:fill="F8F9F9"/>
        </w:rPr>
        <w:t>l</w:t>
      </w:r>
      <w:r>
        <w:rPr>
          <w:rFonts w:ascii="MicrosoftYaHei" w:hAnsi="MicrosoftYaHei"/>
          <w:color w:val="333333"/>
          <w:spacing w:val="8"/>
          <w:shd w:val="clear" w:color="auto" w:fill="F8F9F9"/>
        </w:rPr>
        <w:t>ass</w:t>
      </w:r>
      <w:r>
        <w:rPr>
          <w:rFonts w:hint="eastAsia" w:ascii="MicrosoftYaHei" w:hAnsi="MicrosoftYaHei"/>
          <w:color w:val="333333"/>
          <w:spacing w:val="8"/>
          <w:shd w:val="clear" w:color="auto" w:fill="F8F9F9"/>
        </w:rPr>
        <w:t>可以根据每一时刻瞬时光强调整吸收光能和透过光能，极大程度缩小反射光能总量，使得城市光污染得以有效减轻。通过自身人工光合作用过程回收利用玻璃外超净水，有效实现高层建筑水资源回收利用。</w:t>
      </w:r>
    </w:p>
    <w:p>
      <w:r>
        <w:drawing>
          <wp:inline distT="0" distB="0" distL="0" distR="0">
            <wp:extent cx="5274310" cy="1621790"/>
            <wp:effectExtent l="0" t="0" r="2540" b="0"/>
            <wp:docPr id="77305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5678" name="图片 1"/>
                    <pic:cNvPicPr>
                      <a:picLocks noChangeAspect="1"/>
                    </pic:cNvPicPr>
                  </pic:nvPicPr>
                  <pic:blipFill>
                    <a:blip r:embed="rId6"/>
                    <a:stretch>
                      <a:fillRect/>
                    </a:stretch>
                  </pic:blipFill>
                  <pic:spPr>
                    <a:xfrm>
                      <a:off x="0" y="0"/>
                      <a:ext cx="5274310" cy="1621790"/>
                    </a:xfrm>
                    <a:prstGeom prst="rect">
                      <a:avLst/>
                    </a:prstGeom>
                  </pic:spPr>
                </pic:pic>
              </a:graphicData>
            </a:graphic>
          </wp:inline>
        </w:drawing>
      </w:r>
    </w:p>
    <w:p>
      <w:pPr>
        <w:jc w:val="center"/>
        <w:rPr>
          <w:sz w:val="21"/>
          <w:szCs w:val="20"/>
        </w:rPr>
      </w:pPr>
      <w:r>
        <w:rPr>
          <w:rFonts w:hint="eastAsia"/>
          <w:sz w:val="21"/>
          <w:szCs w:val="20"/>
        </w:rPr>
        <w:t>图3</w:t>
      </w:r>
      <w:r>
        <w:rPr>
          <w:sz w:val="21"/>
          <w:szCs w:val="20"/>
        </w:rPr>
        <w:t xml:space="preserve">.2 </w:t>
      </w:r>
      <w:r>
        <w:rPr>
          <w:rFonts w:hint="eastAsia"/>
          <w:sz w:val="21"/>
          <w:szCs w:val="20"/>
        </w:rPr>
        <w:t>E</w:t>
      </w:r>
      <w:r>
        <w:rPr>
          <w:sz w:val="21"/>
          <w:szCs w:val="20"/>
        </w:rPr>
        <w:t>-G</w:t>
      </w:r>
      <w:r>
        <w:rPr>
          <w:rFonts w:hint="eastAsia"/>
          <w:sz w:val="21"/>
          <w:szCs w:val="20"/>
        </w:rPr>
        <w:t>las</w:t>
      </w:r>
      <w:r>
        <w:rPr>
          <w:sz w:val="21"/>
          <w:szCs w:val="20"/>
        </w:rPr>
        <w:t>s</w:t>
      </w:r>
      <w:r>
        <w:rPr>
          <w:rFonts w:hint="eastAsia"/>
          <w:sz w:val="21"/>
          <w:szCs w:val="20"/>
        </w:rPr>
        <w:t>概念图</w:t>
      </w:r>
    </w:p>
    <w:p>
      <w:r>
        <w:tab/>
      </w:r>
      <w:r>
        <w:rPr>
          <w:rFonts w:hint="eastAsia"/>
        </w:rPr>
        <w:t>如图3</w:t>
      </w:r>
      <w:r>
        <w:t>.3</w:t>
      </w:r>
      <w:r>
        <w:rPr>
          <w:rFonts w:hint="eastAsia"/>
        </w:rPr>
        <w:t>所示，E</w:t>
      </w:r>
      <w:r>
        <w:t>-Glass</w:t>
      </w:r>
      <w:r>
        <w:rPr>
          <w:rFonts w:hint="eastAsia"/>
        </w:rPr>
        <w:t>以</w:t>
      </w:r>
      <w:r>
        <w:rPr>
          <w:rFonts w:hint="eastAsia"/>
          <w:b/>
          <w:bCs/>
        </w:rPr>
        <w:t>超高效光合模块，水资源循环系统，微型智能控制系统</w:t>
      </w:r>
      <w:r>
        <w:rPr>
          <w:rFonts w:hint="eastAsia"/>
        </w:rPr>
        <w:t>为核心，实现了三者在城市建筑玻璃应用领域的完美结合。</w:t>
      </w:r>
    </w:p>
    <w:p>
      <w:pPr>
        <w:ind w:firstLine="420"/>
      </w:pPr>
      <w:r>
        <w:rPr>
          <w:rFonts w:hint="eastAsia"/>
        </w:rPr>
        <w:t>E</w:t>
      </w:r>
      <w:r>
        <w:t>-G</w:t>
      </w:r>
      <w:r>
        <w:rPr>
          <w:rFonts w:hint="eastAsia"/>
        </w:rPr>
        <w:t>la</w:t>
      </w:r>
      <w:r>
        <w:t>ss</w:t>
      </w:r>
      <w:r>
        <w:rPr>
          <w:rFonts w:hint="eastAsia"/>
        </w:rPr>
        <w:t>的</w:t>
      </w:r>
      <w:r>
        <w:rPr>
          <w:rFonts w:hint="eastAsia"/>
          <w:b/>
          <w:bCs/>
        </w:rPr>
        <w:t>超高效光合模块</w:t>
      </w:r>
      <w:r>
        <w:rPr>
          <w:rFonts w:hint="eastAsia"/>
        </w:rPr>
        <w:t>（Aim</w:t>
      </w:r>
      <w:r>
        <w:t>1</w:t>
      </w:r>
      <w:r>
        <w:rPr>
          <w:rFonts w:hint="eastAsia"/>
        </w:rPr>
        <w:t>、A</w:t>
      </w:r>
      <w:r>
        <w:t>im2</w:t>
      </w:r>
      <w:r>
        <w:rPr>
          <w:rFonts w:hint="eastAsia"/>
        </w:rPr>
        <w:t>）弥补了此前的人工光合系统大多只是实现了对植物光反应的模拟而无法生成理想稳定的能源产物的缺陷。其所具备的世界上首款基于视紫红素的高效人工光合平台，具备高达9</w:t>
      </w:r>
      <w:r>
        <w:t>0%</w:t>
      </w:r>
      <w:r>
        <w:rPr>
          <w:rFonts w:hint="eastAsia"/>
        </w:rPr>
        <w:t>的光能利用效率，同时可以直接合成得到稳定光合产物葡萄糖。</w:t>
      </w:r>
    </w:p>
    <w:p>
      <w:r>
        <w:tab/>
      </w:r>
      <w:r>
        <w:t>E-G</w:t>
      </w:r>
      <w:r>
        <w:rPr>
          <w:rFonts w:hint="eastAsia"/>
        </w:rPr>
        <w:t>lass的</w:t>
      </w:r>
      <w:r>
        <w:rPr>
          <w:rFonts w:hint="eastAsia"/>
          <w:b/>
          <w:bCs/>
        </w:rPr>
        <w:t>水资源循环系统</w:t>
      </w:r>
      <w:r>
        <w:rPr>
          <w:rFonts w:hint="eastAsia"/>
        </w:rPr>
        <w:t>(</w:t>
      </w:r>
      <w:r>
        <w:t>Aim3)</w:t>
      </w:r>
      <w:r>
        <w:rPr>
          <w:rFonts w:hint="eastAsia"/>
        </w:rPr>
        <w:t>可以实现对环境中C</w:t>
      </w:r>
      <w:r>
        <w:t>O2</w:t>
      </w:r>
      <w:r>
        <w:rPr>
          <w:rFonts w:hint="eastAsia"/>
        </w:rPr>
        <w:t>和雨露水的高效捕获，同时兼具高透光性和材料强度。完美贴合建筑玻璃和E</w:t>
      </w:r>
      <w:r>
        <w:t>-G</w:t>
      </w:r>
      <w:r>
        <w:rPr>
          <w:rFonts w:hint="eastAsia"/>
        </w:rPr>
        <w:t>lass系统对载体材料的需求。</w:t>
      </w:r>
    </w:p>
    <w:p>
      <w:pPr>
        <w:ind w:firstLine="420"/>
      </w:pPr>
      <w:r>
        <w:rPr>
          <w:rFonts w:hint="eastAsia"/>
        </w:rPr>
        <w:t>E</w:t>
      </w:r>
      <w:r>
        <w:t>-Glass</w:t>
      </w:r>
      <w:r>
        <w:rPr>
          <w:rFonts w:hint="eastAsia"/>
        </w:rPr>
        <w:t>的</w:t>
      </w:r>
      <w:r>
        <w:rPr>
          <w:rFonts w:hint="eastAsia"/>
          <w:b/>
          <w:bCs/>
        </w:rPr>
        <w:t>微型智能控制系统</w:t>
      </w:r>
      <w:r>
        <w:rPr>
          <w:rFonts w:hint="eastAsia"/>
        </w:rPr>
        <w:t>(</w:t>
      </w:r>
      <w:r>
        <w:t>Aim4)</w:t>
      </w:r>
      <w:r>
        <w:rPr>
          <w:rFonts w:hint="eastAsia"/>
        </w:rPr>
        <w:t>基于A</w:t>
      </w:r>
      <w:r>
        <w:t>I</w:t>
      </w:r>
      <w:r>
        <w:rPr>
          <w:rFonts w:hint="eastAsia"/>
        </w:rPr>
        <w:t>算法和微集成控制技术，可以在深度学习的基础上基于当地气候条件和环境光强智能调控E</w:t>
      </w:r>
      <w:r>
        <w:t>-G</w:t>
      </w:r>
      <w:r>
        <w:rPr>
          <w:rFonts w:hint="eastAsia"/>
        </w:rPr>
        <w:t>l</w:t>
      </w:r>
      <w:r>
        <w:t>ass</w:t>
      </w:r>
      <w:r>
        <w:rPr>
          <w:rFonts w:hint="eastAsia"/>
        </w:rPr>
        <w:t>光合系统的工作强度。系统所携带的M</w:t>
      </w:r>
      <w:r>
        <w:t>EMS</w:t>
      </w:r>
      <w:r>
        <w:rPr>
          <w:rFonts w:hint="eastAsia"/>
        </w:rPr>
        <w:t>微传感器可以实时检测系统工作状况以及室内外光照度。控制系统基于此动态调节光合系统工作强度，确保在不影响室内能见度的前提下，有效吸收光能，同时降低系统运行成本。</w:t>
      </w:r>
    </w:p>
    <w:p>
      <w:r>
        <w:rPr>
          <w:sz w:val="22"/>
        </w:rPr>
        <w:drawing>
          <wp:inline distT="0" distB="0" distL="0" distR="0">
            <wp:extent cx="5274310" cy="39192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18295" cy="3951914"/>
                    </a:xfrm>
                    <a:prstGeom prst="rect">
                      <a:avLst/>
                    </a:prstGeom>
                    <a:noFill/>
                    <a:ln>
                      <a:noFill/>
                    </a:ln>
                  </pic:spPr>
                </pic:pic>
              </a:graphicData>
            </a:graphic>
          </wp:inline>
        </w:drawing>
      </w:r>
    </w:p>
    <w:p>
      <w:pPr>
        <w:jc w:val="center"/>
      </w:pPr>
      <w:r>
        <w:rPr>
          <w:rFonts w:hint="eastAsia"/>
          <w:sz w:val="21"/>
          <w:szCs w:val="20"/>
        </w:rPr>
        <w:t>图3</w:t>
      </w:r>
      <w:r>
        <w:rPr>
          <w:sz w:val="21"/>
          <w:szCs w:val="20"/>
        </w:rPr>
        <w:t xml:space="preserve">.3 </w:t>
      </w:r>
      <w:r>
        <w:rPr>
          <w:rFonts w:hint="eastAsia"/>
          <w:sz w:val="21"/>
          <w:szCs w:val="20"/>
        </w:rPr>
        <w:t>E</w:t>
      </w:r>
      <w:r>
        <w:rPr>
          <w:sz w:val="21"/>
          <w:szCs w:val="20"/>
        </w:rPr>
        <w:t>-G</w:t>
      </w:r>
      <w:r>
        <w:rPr>
          <w:rFonts w:hint="eastAsia"/>
          <w:sz w:val="21"/>
          <w:szCs w:val="20"/>
        </w:rPr>
        <w:t>las</w:t>
      </w:r>
      <w:r>
        <w:rPr>
          <w:sz w:val="21"/>
          <w:szCs w:val="20"/>
        </w:rPr>
        <w:t>s</w:t>
      </w:r>
      <w:r>
        <w:rPr>
          <w:rFonts w:hint="eastAsia"/>
          <w:sz w:val="21"/>
          <w:szCs w:val="20"/>
        </w:rPr>
        <w:t>系统实物示意图</w:t>
      </w:r>
    </w:p>
    <w:p>
      <w:pPr>
        <w:pStyle w:val="3"/>
      </w:pPr>
      <w:bookmarkStart w:id="18" w:name="_Toc137328526"/>
      <w:r>
        <w:rPr>
          <w:rFonts w:hint="eastAsia"/>
        </w:rPr>
        <w:t>3</w:t>
      </w:r>
      <w:r>
        <w:t>.1</w:t>
      </w:r>
      <w:r>
        <w:rPr>
          <w:rFonts w:hint="eastAsia"/>
        </w:rPr>
        <w:t>超高效光合模块</w:t>
      </w:r>
      <w:bookmarkEnd w:id="18"/>
    </w:p>
    <w:p>
      <w:r>
        <w:tab/>
      </w:r>
      <w:r>
        <w:rPr>
          <w:rFonts w:hint="eastAsia"/>
        </w:rPr>
        <w:t>项目的核心技术之一是一套基于合成生物学人造细胞的光合系统，进行光反应和暗反应，利用收集到的光能直接合成得到葡萄糖。</w:t>
      </w:r>
    </w:p>
    <w:p>
      <w:pPr>
        <w:jc w:val="center"/>
      </w:pPr>
      <w:r>
        <w:drawing>
          <wp:inline distT="0" distB="0" distL="0" distR="0">
            <wp:extent cx="4040505" cy="2032000"/>
            <wp:effectExtent l="0" t="0" r="0" b="6350"/>
            <wp:docPr id="963335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5806" name="图片 1"/>
                    <pic:cNvPicPr>
                      <a:picLocks noChangeAspect="1"/>
                    </pic:cNvPicPr>
                  </pic:nvPicPr>
                  <pic:blipFill>
                    <a:blip r:embed="rId8"/>
                    <a:stretch>
                      <a:fillRect/>
                    </a:stretch>
                  </pic:blipFill>
                  <pic:spPr>
                    <a:xfrm>
                      <a:off x="0" y="0"/>
                      <a:ext cx="4045590" cy="2034533"/>
                    </a:xfrm>
                    <a:prstGeom prst="rect">
                      <a:avLst/>
                    </a:prstGeom>
                  </pic:spPr>
                </pic:pic>
              </a:graphicData>
            </a:graphic>
          </wp:inline>
        </w:drawing>
      </w:r>
    </w:p>
    <w:p>
      <w:pPr>
        <w:jc w:val="center"/>
        <w:rPr>
          <w:sz w:val="21"/>
          <w:szCs w:val="20"/>
        </w:rPr>
      </w:pPr>
      <w:r>
        <w:rPr>
          <w:rFonts w:hint="eastAsia"/>
          <w:sz w:val="21"/>
          <w:szCs w:val="20"/>
        </w:rPr>
        <w:t>图3</w:t>
      </w:r>
      <w:r>
        <w:rPr>
          <w:sz w:val="21"/>
          <w:szCs w:val="20"/>
        </w:rPr>
        <w:t xml:space="preserve">.4 </w:t>
      </w:r>
      <w:r>
        <w:rPr>
          <w:rFonts w:hint="eastAsia"/>
          <w:sz w:val="21"/>
          <w:szCs w:val="20"/>
        </w:rPr>
        <w:t>人造细胞结构示意图</w:t>
      </w:r>
    </w:p>
    <w:p>
      <w:pPr>
        <w:ind w:firstLine="420"/>
      </w:pPr>
      <w:r>
        <w:rPr>
          <w:rFonts w:hint="eastAsia"/>
        </w:rPr>
        <w:t>采用基于视紫红素（B</w:t>
      </w:r>
      <w:r>
        <w:t>R</w:t>
      </w:r>
      <w:r>
        <w:rPr>
          <w:rFonts w:hint="eastAsia"/>
        </w:rPr>
        <w:t>）的光合体系而不是传统的叶绿素光合体系。一方面是因为视紫红素对光能的利用效率更高，产生的投射光呈现淡紫色相比于叶绿素投射形成的绿光，对视觉感官的影响更小。另一方面，视紫红素直接利用光能转运还原氢在人造细胞两侧形成浓度差，进而合成A</w:t>
      </w:r>
      <w:r>
        <w:t>TP</w:t>
      </w:r>
      <w:r>
        <w:rPr>
          <w:rFonts w:hint="eastAsia"/>
        </w:rPr>
        <w:t>，无需像叶绿素光合体系一样分解水产生还原氢，大大减小了对水资源的消耗，扩展了其在极端无水少水的植物无法生存环境中的应用。</w:t>
      </w:r>
    </w:p>
    <w:p>
      <w:pPr>
        <w:ind w:firstLine="420"/>
      </w:pPr>
      <w:r>
        <w:rPr>
          <w:rFonts w:hint="eastAsia"/>
        </w:rPr>
        <w:t>合成生物学人造细胞相比传统生物，不仅环境耐受性强，没有能量消耗，更无需担忧衰老死亡，从而保障了系统的使用寿命。</w:t>
      </w:r>
    </w:p>
    <w:p>
      <w:pPr>
        <w:pStyle w:val="3"/>
      </w:pPr>
      <w:bookmarkStart w:id="19" w:name="_Toc137328527"/>
      <w:r>
        <w:t xml:space="preserve">3.2 </w:t>
      </w:r>
      <w:r>
        <w:rPr>
          <w:rFonts w:hint="eastAsia"/>
        </w:rPr>
        <w:t>水资源循环系统</w:t>
      </w:r>
      <w:bookmarkEnd w:id="19"/>
    </w:p>
    <w:p>
      <w:r>
        <w:tab/>
      </w:r>
      <w:r>
        <w:rPr>
          <w:rFonts w:hint="eastAsia"/>
        </w:rPr>
        <w:t>在光合系统合成得到有机物以及对环境中水资源捕获回收后，E</w:t>
      </w:r>
      <w:r>
        <w:t>-G</w:t>
      </w:r>
      <w:r>
        <w:rPr>
          <w:rFonts w:hint="eastAsia"/>
        </w:rPr>
        <w:t>lass配套的流体输运系统可以实现对水资源的净化和分离，同时从反应液中提取出产生的液体燃料，后将适量反应液重新泵入系统继续循环。</w:t>
      </w:r>
    </w:p>
    <w:p>
      <w:pPr>
        <w:jc w:val="center"/>
      </w:pPr>
      <w:r>
        <w:drawing>
          <wp:inline distT="0" distB="0" distL="0" distR="0">
            <wp:extent cx="3816350" cy="3552190"/>
            <wp:effectExtent l="0" t="0" r="0" b="0"/>
            <wp:docPr id="9" name="图片 2" descr="Picture1"/>
            <wp:cNvGraphicFramePr/>
            <a:graphic xmlns:a="http://schemas.openxmlformats.org/drawingml/2006/main">
              <a:graphicData uri="http://schemas.openxmlformats.org/drawingml/2006/picture">
                <pic:pic xmlns:pic="http://schemas.openxmlformats.org/drawingml/2006/picture">
                  <pic:nvPicPr>
                    <pic:cNvPr id="9" name="图片 2" descr="Picture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16626" cy="3552740"/>
                    </a:xfrm>
                    <a:prstGeom prst="rect">
                      <a:avLst/>
                    </a:prstGeom>
                    <a:noFill/>
                    <a:ln>
                      <a:noFill/>
                    </a:ln>
                  </pic:spPr>
                </pic:pic>
              </a:graphicData>
            </a:graphic>
          </wp:inline>
        </w:drawing>
      </w:r>
    </w:p>
    <w:p>
      <w:pPr>
        <w:jc w:val="center"/>
        <w:rPr>
          <w:sz w:val="21"/>
          <w:szCs w:val="20"/>
        </w:rPr>
      </w:pPr>
      <w:r>
        <w:rPr>
          <w:rFonts w:hint="eastAsia"/>
          <w:sz w:val="21"/>
          <w:szCs w:val="20"/>
        </w:rPr>
        <w:t>图3</w:t>
      </w:r>
      <w:r>
        <w:rPr>
          <w:sz w:val="21"/>
          <w:szCs w:val="20"/>
        </w:rPr>
        <w:t xml:space="preserve">.5 </w:t>
      </w:r>
      <w:r>
        <w:rPr>
          <w:rFonts w:hint="eastAsia"/>
          <w:sz w:val="21"/>
          <w:szCs w:val="20"/>
        </w:rPr>
        <w:t>流体输运系统示意图</w:t>
      </w:r>
    </w:p>
    <w:p>
      <w:r>
        <w:tab/>
      </w:r>
      <w:r>
        <w:rPr>
          <w:rFonts w:hint="eastAsia"/>
        </w:rPr>
        <w:t>为了实现流体系统和外界环境的气体交换，我们学生团队提出了一种使用多孔PDMS创建气液界面的方法，专门适用于本项目所设计的E-glass人工光合作用新系统的微流体装置。我们设计的多孔PDMS具有疏水性，在保证气液介质充分接触的基础上还可以有效防止水资源的泄露与蒸发。并且多孔PDMS在微流体气体渗透方面具有很强的优势。首先，通过我们对其的配置，PDMS提供了液体和空气外部环境之间的直接接触，相互连接的空隙在液体和空气之间形成了多个随机路径，这也恰恰符合希尔伯特曲线的设置与利用，实现了模块与模块之间的完美结合。其次，多孔PDMS可以很容易地与PDMS 连接，实现了组成安装上的便捷与高效，为其在更广阔的范围内实施与安装提供了较强 的可操作行。在我们学生团队对二氧化碳吸收与水资源利用的大量实验基础上，我们使用其平均值进行测量与估计，在模拟实验中，我们将溶液加入微流控通道之前，在LED的初始搅拌下也可以从空气中吸收部分</w:t>
      </w:r>
      <w:r>
        <w:t>CO2</w:t>
      </w:r>
      <w:r>
        <w:rPr>
          <w:rFonts w:hint="eastAsia"/>
        </w:rPr>
        <w:t>，这对减碳少碳的贡献也是非比寻常的。</w:t>
      </w:r>
    </w:p>
    <w:p>
      <w:pPr>
        <w:pStyle w:val="3"/>
      </w:pPr>
      <w:bookmarkStart w:id="20" w:name="_Toc137328528"/>
      <w:r>
        <w:rPr>
          <w:rFonts w:hint="eastAsia"/>
        </w:rPr>
        <w:t>3</w:t>
      </w:r>
      <w:r>
        <w:t>.3</w:t>
      </w:r>
      <w:r>
        <w:rPr>
          <w:rFonts w:hint="eastAsia"/>
        </w:rPr>
        <w:t>微型智能控制系统</w:t>
      </w:r>
      <w:bookmarkEnd w:id="20"/>
    </w:p>
    <w:p>
      <w:pPr>
        <w:ind w:firstLine="420"/>
      </w:pPr>
      <w:r>
        <w:rPr>
          <w:rFonts w:hint="eastAsia"/>
        </w:rPr>
        <w:t>为了实现基于环境变化和系统光照状况，对流体系统的智能调控，项目组成员针对8*8的光反应单元展开实验。如图3</w:t>
      </w:r>
      <w:r>
        <w:t>.6</w:t>
      </w:r>
      <w:r>
        <w:rPr>
          <w:rFonts w:hint="eastAsia"/>
        </w:rPr>
        <w:t>所示，项目组成员对光反应单元进行二进制编码，设计算法使其构成固定阶数的希尔伯特拓扑曲线图形。基于拓扑通过对曲线中流动液体与外部循环装置的连接状况（如图3</w:t>
      </w:r>
      <w:r>
        <w:t>.7</w:t>
      </w:r>
      <w:r>
        <w:rPr>
          <w:rFonts w:hint="eastAsia"/>
        </w:rPr>
        <w:t>），结合所学流体力学知识，运用流体力学中的伯努利方程实现应对不同光照，温度，空气湿度等特定状态的描述与系统最佳应对实现最优解。将空气环境中的三维动态数据转化成希尔伯特曲线上的一维数据 ，便于处理与计算，以及数据的输入与输出。再通过与暗反应及控制系统的连接实现系统的函数调用与分配。实现资源效益最大化以及对不同状况的最佳处理方式。</w:t>
      </w:r>
    </w:p>
    <w:p>
      <w:pPr>
        <w:jc w:val="center"/>
      </w:pPr>
      <w:r>
        <w:drawing>
          <wp:inline distT="0" distB="0" distL="0" distR="0">
            <wp:extent cx="2292350" cy="2263775"/>
            <wp:effectExtent l="0" t="0" r="0" b="3175"/>
            <wp:docPr id="905159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9458" name="图片 1"/>
                    <pic:cNvPicPr>
                      <a:picLocks noChangeAspect="1"/>
                    </pic:cNvPicPr>
                  </pic:nvPicPr>
                  <pic:blipFill>
                    <a:blip r:embed="rId10"/>
                    <a:stretch>
                      <a:fillRect/>
                    </a:stretch>
                  </pic:blipFill>
                  <pic:spPr>
                    <a:xfrm>
                      <a:off x="0" y="0"/>
                      <a:ext cx="2297755" cy="2269300"/>
                    </a:xfrm>
                    <a:prstGeom prst="rect">
                      <a:avLst/>
                    </a:prstGeom>
                  </pic:spPr>
                </pic:pic>
              </a:graphicData>
            </a:graphic>
          </wp:inline>
        </w:drawing>
      </w:r>
    </w:p>
    <w:p>
      <w:pPr>
        <w:jc w:val="center"/>
        <w:rPr>
          <w:sz w:val="21"/>
          <w:szCs w:val="20"/>
        </w:rPr>
      </w:pPr>
      <w:r>
        <w:rPr>
          <w:rFonts w:hint="eastAsia"/>
          <w:sz w:val="21"/>
          <w:szCs w:val="20"/>
        </w:rPr>
        <w:t>图3</w:t>
      </w:r>
      <w:r>
        <w:rPr>
          <w:sz w:val="21"/>
          <w:szCs w:val="20"/>
        </w:rPr>
        <w:t xml:space="preserve">.6 </w:t>
      </w:r>
      <w:r>
        <w:rPr>
          <w:rFonts w:hint="eastAsia"/>
          <w:sz w:val="21"/>
          <w:szCs w:val="20"/>
        </w:rPr>
        <w:t>针对光反应模块的希尔伯特拓扑曲线</w:t>
      </w:r>
    </w:p>
    <w:p>
      <w:pPr>
        <w:jc w:val="center"/>
      </w:pPr>
      <w:r>
        <w:rPr>
          <w:rFonts w:ascii="仿宋" w:hAnsi="仿宋" w:eastAsia="仿宋" w:cs="宋体"/>
          <w:spacing w:val="2"/>
        </w:rPr>
        <w:drawing>
          <wp:inline distT="0" distB="0" distL="0" distR="0">
            <wp:extent cx="4150360" cy="2671445"/>
            <wp:effectExtent l="19050" t="0" r="2319"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54446" cy="2673984"/>
                    </a:xfrm>
                    <a:prstGeom prst="rect">
                      <a:avLst/>
                    </a:prstGeom>
                    <a:noFill/>
                    <a:ln>
                      <a:noFill/>
                    </a:ln>
                  </pic:spPr>
                </pic:pic>
              </a:graphicData>
            </a:graphic>
          </wp:inline>
        </w:drawing>
      </w:r>
    </w:p>
    <w:p>
      <w:pPr>
        <w:jc w:val="center"/>
        <w:rPr>
          <w:sz w:val="21"/>
          <w:szCs w:val="20"/>
        </w:rPr>
      </w:pPr>
      <w:r>
        <w:rPr>
          <w:rFonts w:hint="eastAsia"/>
          <w:sz w:val="21"/>
          <w:szCs w:val="20"/>
        </w:rPr>
        <w:t>图3</w:t>
      </w:r>
      <w:r>
        <w:rPr>
          <w:sz w:val="21"/>
          <w:szCs w:val="20"/>
        </w:rPr>
        <w:t xml:space="preserve">.7 </w:t>
      </w:r>
      <w:r>
        <w:rPr>
          <w:rFonts w:hint="eastAsia"/>
          <w:sz w:val="21"/>
          <w:szCs w:val="20"/>
        </w:rPr>
        <w:t>采用希尔伯特曲线连接方式的人工光合平台</w:t>
      </w:r>
    </w:p>
    <w:p>
      <w:pPr>
        <w:ind w:firstLine="420"/>
        <w:textAlignment w:val="center"/>
        <w:rPr>
          <w:rFonts w:ascii="宋体" w:hAnsi="宋体" w:cs="宋体"/>
          <w:szCs w:val="24"/>
        </w:rPr>
      </w:pPr>
      <w:r>
        <w:rPr>
          <w:rFonts w:ascii="宋体" w:hAnsi="宋体" w:cs="宋体"/>
          <w:szCs w:val="24"/>
        </w:rPr>
        <w:drawing>
          <wp:inline distT="0" distB="0" distL="0" distR="0">
            <wp:extent cx="1447800" cy="381000"/>
            <wp:effectExtent l="0" t="0" r="0" b="0"/>
            <wp:docPr id="17096576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762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47800" cy="381000"/>
                    </a:xfrm>
                    <a:prstGeom prst="rect">
                      <a:avLst/>
                    </a:prstGeom>
                    <a:noFill/>
                    <a:ln>
                      <a:noFill/>
                    </a:ln>
                  </pic:spPr>
                </pic:pic>
              </a:graphicData>
            </a:graphic>
          </wp:inline>
        </w:drawing>
      </w:r>
      <w:r>
        <w:rPr>
          <w:rFonts w:hint="eastAsia" w:ascii="宋体" w:hAnsi="宋体" w:cs="宋体"/>
          <w:szCs w:val="24"/>
        </w:rPr>
        <w:t>，其中的常量我们设定为cy,它是由系统中外部温度，光照和适湿度等条件等共同决定的，不同的外部条件具有不同的常数测量值。在E-glass系统中希尔伯特曲线的运用真正实现了高效，智能，便捷，以及对资源的最优利用。</w:t>
      </w:r>
    </w:p>
    <w:p/>
    <w:p>
      <w:pPr>
        <w:pStyle w:val="2"/>
      </w:pPr>
      <w:bookmarkStart w:id="21" w:name="_Toc137328529"/>
      <w:r>
        <w:rPr>
          <w:rFonts w:hint="eastAsia"/>
        </w:rPr>
        <w:t>第四章 市场分析</w:t>
      </w:r>
      <w:bookmarkEnd w:id="21"/>
    </w:p>
    <w:p>
      <w:pPr>
        <w:pStyle w:val="3"/>
      </w:pPr>
      <w:bookmarkStart w:id="22" w:name="_Toc137328530"/>
      <w:r>
        <w:t>4.1</w:t>
      </w:r>
      <w:r>
        <w:rPr>
          <w:rFonts w:hint="eastAsia"/>
        </w:rPr>
        <w:t>房地产行业发展趋势</w:t>
      </w:r>
      <w:bookmarkEnd w:id="22"/>
    </w:p>
    <w:p>
      <w:pPr>
        <w:ind w:firstLine="420"/>
      </w:pPr>
      <w:r>
        <w:rPr>
          <w:rFonts w:hint="eastAsia"/>
        </w:rPr>
        <w:t>《房地产市场行业分析研究报告》指出：随着中国城</w:t>
      </w:r>
      <w:r>
        <w:t>镇化进入高质量发展阶段，中国房地产行业整体规模增速放缓，尤其是在过去一年多内， 受到内外部多种因素的影响，房地产行业正处于全面深度调整的关键时期。与此同时，在国家“碳中和、 碳达峰”的目标下，政府加强了推进房地产行业节能减排的政策实施力度，使得房地产行业绿色低碳转 型迫在眉睫；另一方面，由能源结构调整引发的电力设备与产业发展不协调、非生产性用电量增长 过快以及能源利用效率低下等问题，也让房地产行业面临电力短缺的困境</w:t>
      </w:r>
      <w:r>
        <w:rPr>
          <w:rFonts w:hint="eastAsia"/>
        </w:rPr>
        <w:t>。</w:t>
      </w:r>
      <w:r>
        <w:rPr>
          <w:rFonts w:hint="eastAsia"/>
          <w:b/>
          <w:bCs/>
        </w:rPr>
        <w:t>能源</w:t>
      </w:r>
      <w:r>
        <w:rPr>
          <w:rFonts w:hint="eastAsia"/>
        </w:rPr>
        <w:t>、</w:t>
      </w:r>
      <w:r>
        <w:rPr>
          <w:rFonts w:hint="eastAsia"/>
          <w:b/>
          <w:bCs/>
        </w:rPr>
        <w:t>碳中和</w:t>
      </w:r>
      <w:r>
        <w:rPr>
          <w:rFonts w:hint="eastAsia"/>
        </w:rPr>
        <w:t>，</w:t>
      </w:r>
      <w:r>
        <w:rPr>
          <w:rFonts w:hint="eastAsia"/>
          <w:b/>
          <w:bCs/>
        </w:rPr>
        <w:t>居住环境</w:t>
      </w:r>
      <w:r>
        <w:rPr>
          <w:rFonts w:hint="eastAsia"/>
        </w:rPr>
        <w:t>将是房地产行业持续发展的关键要素。</w:t>
      </w:r>
    </w:p>
    <w:p>
      <w:r>
        <w:drawing>
          <wp:inline distT="0" distB="0" distL="0" distR="0">
            <wp:extent cx="5274310" cy="2318385"/>
            <wp:effectExtent l="0" t="0" r="2540" b="5715"/>
            <wp:docPr id="1058378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78550" name="图片 1"/>
                    <pic:cNvPicPr>
                      <a:picLocks noChangeAspect="1"/>
                    </pic:cNvPicPr>
                  </pic:nvPicPr>
                  <pic:blipFill>
                    <a:blip r:embed="rId13"/>
                    <a:stretch>
                      <a:fillRect/>
                    </a:stretch>
                  </pic:blipFill>
                  <pic:spPr>
                    <a:xfrm>
                      <a:off x="0" y="0"/>
                      <a:ext cx="5274310" cy="2318385"/>
                    </a:xfrm>
                    <a:prstGeom prst="rect">
                      <a:avLst/>
                    </a:prstGeom>
                  </pic:spPr>
                </pic:pic>
              </a:graphicData>
            </a:graphic>
          </wp:inline>
        </w:drawing>
      </w:r>
    </w:p>
    <w:p>
      <w:pPr>
        <w:jc w:val="center"/>
        <w:rPr>
          <w:sz w:val="21"/>
          <w:szCs w:val="20"/>
        </w:rPr>
      </w:pPr>
      <w:r>
        <w:rPr>
          <w:rFonts w:hint="eastAsia"/>
          <w:sz w:val="21"/>
          <w:szCs w:val="20"/>
        </w:rPr>
        <w:t>图</w:t>
      </w:r>
      <w:r>
        <w:rPr>
          <w:sz w:val="21"/>
          <w:szCs w:val="20"/>
        </w:rPr>
        <w:t xml:space="preserve">4.1 </w:t>
      </w:r>
      <w:r>
        <w:rPr>
          <w:rFonts w:hint="eastAsia"/>
          <w:sz w:val="21"/>
          <w:szCs w:val="20"/>
        </w:rPr>
        <w:t>中国房地产持续发展关键要素</w:t>
      </w:r>
    </w:p>
    <w:p>
      <w:pPr>
        <w:pStyle w:val="3"/>
      </w:pPr>
      <w:bookmarkStart w:id="23" w:name="_Toc137328531"/>
      <w:r>
        <w:t>4.2</w:t>
      </w:r>
      <w:r>
        <w:rPr>
          <w:rFonts w:hint="eastAsia"/>
        </w:rPr>
        <w:t>建筑业碳排放情况</w:t>
      </w:r>
      <w:bookmarkEnd w:id="23"/>
    </w:p>
    <w:p>
      <w:r>
        <w:tab/>
      </w:r>
      <w:r>
        <w:rPr>
          <w:rFonts w:hint="eastAsia"/>
        </w:rPr>
        <w:t>如图</w:t>
      </w:r>
      <w:r>
        <w:t>4</w:t>
      </w:r>
      <w:r>
        <w:rPr>
          <w:rFonts w:hint="eastAsia"/>
        </w:rPr>
        <w:t>.</w:t>
      </w:r>
      <w:r>
        <w:t>2</w:t>
      </w:r>
      <w:r>
        <w:rPr>
          <w:rFonts w:hint="eastAsia"/>
        </w:rPr>
        <w:t>所示，中国建筑节能协会统计数据结果表明，建筑部门几乎是碳排放量最高的部门。即使除去建筑材料以及建筑施工阶段的碳排放，建筑运行阶段（城镇居建、公共建筑、农村建筑）的碳排放占比依然高达全国总碳排放量的2</w:t>
      </w:r>
      <w:r>
        <w:t>1.9%</w:t>
      </w:r>
      <w:r>
        <w:rPr>
          <w:rFonts w:hint="eastAsia"/>
        </w:rPr>
        <w:t>。2</w:t>
      </w:r>
      <w:r>
        <w:t>022</w:t>
      </w:r>
      <w:r>
        <w:rPr>
          <w:rFonts w:hint="eastAsia"/>
        </w:rPr>
        <w:t>年，全国建筑运行阶段碳排放为2</w:t>
      </w:r>
      <w:r>
        <w:t>1.6</w:t>
      </w:r>
      <w:r>
        <w:rPr>
          <w:rFonts w:hint="eastAsia"/>
        </w:rPr>
        <w:t>亿t</w:t>
      </w:r>
      <w:r>
        <w:t>CO2</w:t>
      </w:r>
      <w:r>
        <w:rPr>
          <w:rFonts w:hint="eastAsia"/>
        </w:rPr>
        <w:t>。</w:t>
      </w:r>
    </w:p>
    <w:p>
      <w:pPr>
        <w:ind w:firstLine="420"/>
      </w:pPr>
      <w:r>
        <w:rPr>
          <w:rFonts w:hint="eastAsia"/>
        </w:rPr>
        <w:t>2</w:t>
      </w:r>
      <w:r>
        <w:t>022</w:t>
      </w:r>
      <w:r>
        <w:rPr>
          <w:rFonts w:hint="eastAsia"/>
        </w:rPr>
        <w:t>年</w:t>
      </w:r>
      <w:r>
        <w:t>落幕的北京冬奥会，将智能和低碳作为核心考虑要素，成为历史上第一届碳排放量实现中和的奥运会。与此同时，欧洲碳排放市场在中国春节期间，交易价格涨至94.94欧元/吨</w:t>
      </w:r>
      <w:r>
        <w:rPr>
          <w:rFonts w:hint="eastAsia"/>
        </w:rPr>
        <w:t>，据此估算，2</w:t>
      </w:r>
      <w:r>
        <w:t>022</w:t>
      </w:r>
      <w:r>
        <w:rPr>
          <w:rFonts w:hint="eastAsia"/>
        </w:rPr>
        <w:t>年建筑业在建筑运行阶段的碳排放成本高达1</w:t>
      </w:r>
      <w:r>
        <w:t>5749.4</w:t>
      </w:r>
      <w:r>
        <w:rPr>
          <w:rFonts w:hint="eastAsia"/>
        </w:rPr>
        <w:t>亿元人民币。</w:t>
      </w:r>
    </w:p>
    <w:p>
      <w:r>
        <w:tab/>
      </w:r>
      <w:r>
        <w:drawing>
          <wp:inline distT="0" distB="0" distL="0" distR="0">
            <wp:extent cx="4972050" cy="2114550"/>
            <wp:effectExtent l="0" t="0" r="0" b="0"/>
            <wp:docPr id="1000931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1340" name="图片 1"/>
                    <pic:cNvPicPr>
                      <a:picLocks noChangeAspect="1"/>
                    </pic:cNvPicPr>
                  </pic:nvPicPr>
                  <pic:blipFill>
                    <a:blip r:embed="rId14"/>
                    <a:srcRect l="2167" t="18481" r="3564" b="5544"/>
                    <a:stretch>
                      <a:fillRect/>
                    </a:stretch>
                  </pic:blipFill>
                  <pic:spPr>
                    <a:xfrm>
                      <a:off x="0" y="0"/>
                      <a:ext cx="4972050" cy="2114550"/>
                    </a:xfrm>
                    <a:prstGeom prst="rect">
                      <a:avLst/>
                    </a:prstGeom>
                    <a:ln>
                      <a:noFill/>
                    </a:ln>
                  </pic:spPr>
                </pic:pic>
              </a:graphicData>
            </a:graphic>
          </wp:inline>
        </w:drawing>
      </w:r>
      <w:r>
        <w:t xml:space="preserve"> </w:t>
      </w:r>
    </w:p>
    <w:p>
      <w:pPr>
        <w:jc w:val="center"/>
        <w:rPr>
          <w:sz w:val="21"/>
          <w:szCs w:val="20"/>
        </w:rPr>
      </w:pPr>
      <w:r>
        <w:rPr>
          <w:rFonts w:hint="eastAsia"/>
          <w:sz w:val="21"/>
          <w:szCs w:val="20"/>
        </w:rPr>
        <w:t>图</w:t>
      </w:r>
      <w:r>
        <w:rPr>
          <w:sz w:val="21"/>
          <w:szCs w:val="20"/>
        </w:rPr>
        <w:t xml:space="preserve">4.2 </w:t>
      </w:r>
      <w:r>
        <w:rPr>
          <w:rFonts w:hint="eastAsia"/>
          <w:sz w:val="21"/>
          <w:szCs w:val="20"/>
        </w:rPr>
        <w:t>中国建筑全寿命周期碳排放总量在全国能源碳排放占比（%）</w:t>
      </w:r>
    </w:p>
    <w:p>
      <w:pPr>
        <w:pStyle w:val="3"/>
      </w:pPr>
      <w:bookmarkStart w:id="24" w:name="_Toc137328532"/>
      <w:r>
        <w:t>4.3</w:t>
      </w:r>
      <w:r>
        <w:rPr>
          <w:rFonts w:hint="eastAsia"/>
        </w:rPr>
        <w:t>新能源发展趋势</w:t>
      </w:r>
      <w:bookmarkEnd w:id="24"/>
    </w:p>
    <w:p>
      <w:r>
        <w:drawing>
          <wp:inline distT="0" distB="0" distL="0" distR="0">
            <wp:extent cx="5904230" cy="2231390"/>
            <wp:effectExtent l="0" t="0" r="1270" b="0"/>
            <wp:docPr id="1131068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8870" name="图片 1"/>
                    <pic:cNvPicPr>
                      <a:picLocks noChangeAspect="1"/>
                    </pic:cNvPicPr>
                  </pic:nvPicPr>
                  <pic:blipFill>
                    <a:blip r:embed="rId15"/>
                    <a:srcRect t="7380"/>
                    <a:stretch>
                      <a:fillRect/>
                    </a:stretch>
                  </pic:blipFill>
                  <pic:spPr>
                    <a:xfrm>
                      <a:off x="0" y="0"/>
                      <a:ext cx="5918175" cy="2236516"/>
                    </a:xfrm>
                    <a:prstGeom prst="rect">
                      <a:avLst/>
                    </a:prstGeom>
                    <a:ln>
                      <a:noFill/>
                    </a:ln>
                  </pic:spPr>
                </pic:pic>
              </a:graphicData>
            </a:graphic>
          </wp:inline>
        </w:drawing>
      </w:r>
    </w:p>
    <w:p>
      <w:pPr>
        <w:jc w:val="center"/>
        <w:rPr>
          <w:sz w:val="21"/>
          <w:szCs w:val="20"/>
        </w:rPr>
      </w:pPr>
      <w:r>
        <w:rPr>
          <w:rFonts w:hint="eastAsia"/>
          <w:sz w:val="21"/>
          <w:szCs w:val="20"/>
        </w:rPr>
        <w:t>图</w:t>
      </w:r>
      <w:r>
        <w:rPr>
          <w:sz w:val="21"/>
          <w:szCs w:val="20"/>
        </w:rPr>
        <w:t xml:space="preserve">4.3 </w:t>
      </w:r>
      <w:r>
        <w:rPr>
          <w:rFonts w:hint="eastAsia"/>
          <w:sz w:val="21"/>
          <w:szCs w:val="20"/>
        </w:rPr>
        <w:t>中国建筑全寿命周期碳排放总量在全国能源碳排放占比（%）</w:t>
      </w:r>
    </w:p>
    <w:p>
      <w:r>
        <w:tab/>
      </w:r>
      <w:r>
        <w:t>2022年2月，国家发改委、国家能源局发布《关于完善能源绿色低碳转型体制机制和政策措施的意见》，旨在促进能源高质量发展和经济社会发展全面绿色转型。</w:t>
      </w:r>
      <w:r>
        <w:rPr>
          <w:rFonts w:hint="eastAsia"/>
        </w:rPr>
        <w:t>在双碳战略的要求下，全国发电装机结构已趋于清洁化，</w:t>
      </w:r>
      <w:r>
        <w:t>近5年火电装机容量占比下降7.6%，风电和光电占比上升10.2%。未来在能源技术变革下，清洁能源将主导能源生产方式。在能源技术变革下，未来清洁能源将替代传统能源，成为主导的能源生产方式。</w:t>
      </w:r>
    </w:p>
    <w:p>
      <w:pPr>
        <w:jc w:val="center"/>
      </w:pPr>
      <w:r>
        <w:drawing>
          <wp:inline distT="0" distB="0" distL="0" distR="0">
            <wp:extent cx="3829050" cy="2143125"/>
            <wp:effectExtent l="0" t="0" r="0" b="9525"/>
            <wp:docPr id="548262987" name="图片 9" descr="图表5：“十五”至“十四五”计划期间中国新能源行业政策演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62987" name="图片 9" descr="图表5：“十五”至“十四五”计划期间中国新能源行业政策演变"/>
                    <pic:cNvPicPr>
                      <a:picLocks noChangeAspect="1" noChangeArrowheads="1"/>
                    </pic:cNvPicPr>
                  </pic:nvPicPr>
                  <pic:blipFill>
                    <a:blip r:embed="rId16">
                      <a:extLst>
                        <a:ext uri="{28A0092B-C50C-407E-A947-70E740481C1C}">
                          <a14:useLocalDpi xmlns:a14="http://schemas.microsoft.com/office/drawing/2010/main" val="0"/>
                        </a:ext>
                      </a:extLst>
                    </a:blip>
                    <a:srcRect t="8903" b="7528"/>
                    <a:stretch>
                      <a:fillRect/>
                    </a:stretch>
                  </pic:blipFill>
                  <pic:spPr>
                    <a:xfrm>
                      <a:off x="0" y="0"/>
                      <a:ext cx="3846820" cy="2153467"/>
                    </a:xfrm>
                    <a:prstGeom prst="rect">
                      <a:avLst/>
                    </a:prstGeom>
                    <a:noFill/>
                    <a:ln>
                      <a:noFill/>
                    </a:ln>
                  </pic:spPr>
                </pic:pic>
              </a:graphicData>
            </a:graphic>
          </wp:inline>
        </w:drawing>
      </w:r>
    </w:p>
    <w:p>
      <w:pPr>
        <w:jc w:val="center"/>
        <w:rPr>
          <w:sz w:val="21"/>
          <w:szCs w:val="20"/>
        </w:rPr>
      </w:pPr>
      <w:r>
        <w:rPr>
          <w:rFonts w:hint="eastAsia"/>
          <w:sz w:val="21"/>
          <w:szCs w:val="20"/>
        </w:rPr>
        <w:t>图3</w:t>
      </w:r>
      <w:r>
        <w:rPr>
          <w:sz w:val="21"/>
          <w:szCs w:val="20"/>
        </w:rPr>
        <w:t xml:space="preserve">.4 </w:t>
      </w:r>
      <w:r>
        <w:rPr>
          <w:rFonts w:hint="eastAsia"/>
          <w:sz w:val="21"/>
          <w:szCs w:val="20"/>
        </w:rPr>
        <w:t>新能源领域政策演变</w:t>
      </w:r>
    </w:p>
    <w:p>
      <w:pPr>
        <w:ind w:firstLine="420"/>
      </w:pPr>
      <w:r>
        <w:rPr>
          <w:rFonts w:hint="eastAsia"/>
        </w:rPr>
        <w:t>《“十四五”现代能源体系规划》明确提出，要加快发展风电，太阳能发电，全面推进风电和太阳能发电7大规模开发和高质量发展，优先就地就近开发利用，推广光伏发电和建筑一体化应用，开展风电、光伏发电制氢示范。</w:t>
      </w:r>
    </w:p>
    <w:p>
      <w:pPr>
        <w:ind w:firstLine="420"/>
      </w:pPr>
      <w:r>
        <w:rPr>
          <w:rFonts w:hint="eastAsia"/>
        </w:rPr>
        <w:t>以光伏发电为例，截止2</w:t>
      </w:r>
      <w:r>
        <w:t>021</w:t>
      </w:r>
      <w:r>
        <w:rPr>
          <w:rFonts w:hint="eastAsia"/>
        </w:rPr>
        <w:t>年，我国光伏新增装机5</w:t>
      </w:r>
      <w:r>
        <w:t>4.88GW</w:t>
      </w:r>
      <w:r>
        <w:rPr>
          <w:rFonts w:hint="eastAsia"/>
        </w:rPr>
        <w:t>，全国光伏累计装机3</w:t>
      </w:r>
      <w:r>
        <w:t>06.56GW</w:t>
      </w:r>
      <w:r>
        <w:rPr>
          <w:rFonts w:hint="eastAsia"/>
        </w:rPr>
        <w:t>，</w:t>
      </w:r>
      <w:r>
        <w:t>全国光伏发电量3259亿千瓦时</w:t>
      </w:r>
      <w:r>
        <w:rPr>
          <w:rFonts w:hint="eastAsia"/>
        </w:rPr>
        <w:t>。到2</w:t>
      </w:r>
      <w:r>
        <w:t>060</w:t>
      </w:r>
      <w:r>
        <w:rPr>
          <w:rFonts w:hint="eastAsia"/>
        </w:rPr>
        <w:t>年，我国一次能源需求在4</w:t>
      </w:r>
      <w:r>
        <w:t>6</w:t>
      </w:r>
      <w:r>
        <w:rPr>
          <w:rFonts w:hint="eastAsia"/>
        </w:rPr>
        <w:t>亿吨标准煤左右，乘以8</w:t>
      </w:r>
      <w:r>
        <w:t>0%</w:t>
      </w:r>
      <w:r>
        <w:rPr>
          <w:rFonts w:hint="eastAsia"/>
        </w:rPr>
        <w:t>，再换算成电力，大约需要2</w:t>
      </w:r>
      <w:r>
        <w:t>9.955</w:t>
      </w:r>
      <w:r>
        <w:rPr>
          <w:rFonts w:hint="eastAsia"/>
        </w:rPr>
        <w:t>万亿度电来自非化石能源。</w:t>
      </w:r>
    </w:p>
    <w:p>
      <w:pPr>
        <w:pStyle w:val="2"/>
      </w:pPr>
      <w:bookmarkStart w:id="25" w:name="_Toc137328533"/>
      <w:r>
        <w:rPr>
          <w:rFonts w:hint="eastAsia"/>
        </w:rPr>
        <w:t>第五章 项目产品评估及竞品分析</w:t>
      </w:r>
      <w:bookmarkEnd w:id="25"/>
    </w:p>
    <w:p>
      <w:pPr>
        <w:pStyle w:val="3"/>
      </w:pPr>
      <w:bookmarkStart w:id="26" w:name="_Toc137328534"/>
      <w:r>
        <w:rPr>
          <w:rFonts w:hint="eastAsia"/>
        </w:rPr>
        <w:t>5</w:t>
      </w:r>
      <w:r>
        <w:t>.1 E-Glass</w:t>
      </w:r>
      <w:r>
        <w:rPr>
          <w:rFonts w:hint="eastAsia"/>
        </w:rPr>
        <w:t>系统成本估算</w:t>
      </w:r>
      <w:bookmarkEnd w:id="26"/>
    </w:p>
    <w:p>
      <w:pPr>
        <w:ind w:firstLine="420"/>
      </w:pPr>
      <w:r>
        <w:t>E-Glass</w:t>
      </w:r>
      <w:r>
        <w:rPr>
          <w:rFonts w:hint="eastAsia"/>
        </w:rPr>
        <w:t>系统所需合成生物学人工细胞，多孔填充介质等材料，如果产业规模扩大能够实现量产，其成本可以实现快速下降。此外，智能控制系统以及水资源回收系统等在建筑内才有使用空间。故此，我们在材料均可工业化量产的前提下，分析独栋5</w:t>
      </w:r>
      <w:r>
        <w:t>0</w:t>
      </w:r>
      <w:r>
        <w:rPr>
          <w:rFonts w:hint="eastAsia"/>
        </w:rPr>
        <w:t>层高楼配备E</w:t>
      </w:r>
      <w:r>
        <w:t>-Glass</w:t>
      </w:r>
      <w:r>
        <w:rPr>
          <w:rFonts w:hint="eastAsia"/>
        </w:rPr>
        <w:t>系统所需成本以及产生效益。</w:t>
      </w:r>
    </w:p>
    <w:p>
      <w:pPr>
        <w:pStyle w:val="4"/>
      </w:pPr>
      <w:bookmarkStart w:id="27" w:name="_Toc137328535"/>
      <w:bookmarkStart w:id="28" w:name="_Hlk137241737"/>
      <w:r>
        <w:rPr>
          <w:rFonts w:hint="eastAsia"/>
        </w:rPr>
        <w:t>5.</w:t>
      </w:r>
      <w:r>
        <w:t>1.1</w:t>
      </w:r>
      <w:r>
        <w:rPr>
          <w:rFonts w:hint="eastAsia"/>
        </w:rPr>
        <w:t>光反应模块成本估算</w:t>
      </w:r>
      <w:bookmarkEnd w:id="27"/>
    </w:p>
    <w:p>
      <w:r>
        <w:tab/>
      </w:r>
      <w:r>
        <w:rPr>
          <w:rFonts w:hint="eastAsia"/>
        </w:rPr>
        <w:t>以青霉素为例，1</w:t>
      </w:r>
      <w:r>
        <w:t>940</w:t>
      </w:r>
      <w:r>
        <w:rPr>
          <w:rFonts w:hint="eastAsia"/>
        </w:rPr>
        <w:t>年初步进入工业化生产阶段的青霉素几乎有价无市，1</w:t>
      </w:r>
      <w:r>
        <w:t>943</w:t>
      </w:r>
      <w:r>
        <w:rPr>
          <w:rFonts w:hint="eastAsia"/>
        </w:rPr>
        <w:t>年美国改进了菌种的发酵工艺后，基本实现量产，此时一支4</w:t>
      </w:r>
      <w:r>
        <w:t>0</w:t>
      </w:r>
      <w:r>
        <w:rPr>
          <w:rFonts w:hint="eastAsia"/>
        </w:rPr>
        <w:t>万单位针剂的青霉素，其售价大致为2</w:t>
      </w:r>
      <w:r>
        <w:t>00</w:t>
      </w:r>
      <w:r>
        <w:rPr>
          <w:rFonts w:hint="eastAsia"/>
        </w:rPr>
        <w:t>美元，但到1</w:t>
      </w:r>
      <w:r>
        <w:t>944</w:t>
      </w:r>
      <w:r>
        <w:rPr>
          <w:rFonts w:hint="eastAsia"/>
        </w:rPr>
        <w:t>年末，抗生素的成本已经下降至一支1美分。</w:t>
      </w:r>
    </w:p>
    <w:p>
      <w:r>
        <w:tab/>
      </w:r>
      <w:r>
        <w:rPr>
          <w:rFonts w:hint="eastAsia"/>
        </w:rPr>
        <w:t>合成生物学人工细胞所需的视紫红素微囊泡，来源于</w:t>
      </w:r>
      <w:r>
        <w:rPr>
          <w:rFonts w:hint="eastAsia" w:ascii="Arial" w:hAnsi="Arial" w:cs="Arial"/>
          <w:color w:val="191919"/>
          <w:shd w:val="clear" w:color="auto" w:fill="FFFFFF"/>
        </w:rPr>
        <w:t>嗜热嗜酸古菌，目前尚未有该菌种的任何应用，故而在实验室环境中提取1</w:t>
      </w:r>
      <w:r>
        <w:rPr>
          <w:rFonts w:ascii="Arial" w:hAnsi="Arial" w:cs="Arial"/>
          <w:color w:val="191919"/>
          <w:shd w:val="clear" w:color="auto" w:fill="FFFFFF"/>
        </w:rPr>
        <w:t>g</w:t>
      </w:r>
      <w:r>
        <w:rPr>
          <w:rFonts w:hint="eastAsia"/>
        </w:rPr>
        <w:t>视紫红素微囊泡的成本为7</w:t>
      </w:r>
      <w:r>
        <w:t>000</w:t>
      </w:r>
      <w:r>
        <w:rPr>
          <w:rFonts w:hint="eastAsia"/>
        </w:rPr>
        <w:t>美金。但实现量产以后，由于其生产的连续性，菌种引进的价格以及发酵罐的成本基本可以忽略不计。</w:t>
      </w:r>
    </w:p>
    <w:p>
      <w:pPr>
        <w:jc w:val="center"/>
        <w:rPr>
          <w:sz w:val="21"/>
          <w:szCs w:val="20"/>
        </w:rPr>
      </w:pPr>
      <w:r>
        <w:rPr>
          <w:rFonts w:hint="eastAsia"/>
          <w:sz w:val="21"/>
          <w:szCs w:val="20"/>
        </w:rPr>
        <w:t>表5</w:t>
      </w:r>
      <w:r>
        <w:rPr>
          <w:sz w:val="21"/>
          <w:szCs w:val="20"/>
        </w:rPr>
        <w:t xml:space="preserve">.1 </w:t>
      </w:r>
      <w:r>
        <w:rPr>
          <w:rFonts w:hint="eastAsia"/>
          <w:sz w:val="21"/>
          <w:szCs w:val="20"/>
        </w:rPr>
        <w:t>发酵罐成本估算表</w:t>
      </w:r>
    </w:p>
    <w:p>
      <w:pPr>
        <w:jc w:val="center"/>
      </w:pPr>
      <w:r>
        <w:drawing>
          <wp:inline distT="0" distB="0" distL="0" distR="0">
            <wp:extent cx="5080000" cy="2305050"/>
            <wp:effectExtent l="0" t="0" r="6350" b="0"/>
            <wp:docPr id="1885005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05559" name="图片 1"/>
                    <pic:cNvPicPr>
                      <a:picLocks noChangeAspect="1"/>
                    </pic:cNvPicPr>
                  </pic:nvPicPr>
                  <pic:blipFill>
                    <a:blip r:embed="rId17"/>
                    <a:srcRect l="602" t="3358" r="3082" b="9614"/>
                    <a:stretch>
                      <a:fillRect/>
                    </a:stretch>
                  </pic:blipFill>
                  <pic:spPr>
                    <a:xfrm>
                      <a:off x="0" y="0"/>
                      <a:ext cx="5080000" cy="2305050"/>
                    </a:xfrm>
                    <a:prstGeom prst="rect">
                      <a:avLst/>
                    </a:prstGeom>
                    <a:ln>
                      <a:noFill/>
                    </a:ln>
                  </pic:spPr>
                </pic:pic>
              </a:graphicData>
            </a:graphic>
          </wp:inline>
        </w:drawing>
      </w:r>
    </w:p>
    <w:p>
      <w:pPr>
        <w:ind w:firstLine="420"/>
      </w:pPr>
      <w:r>
        <w:rPr>
          <w:rFonts w:hint="eastAsia"/>
        </w:rPr>
        <w:t>以主流的1</w:t>
      </w:r>
      <w:r>
        <w:t>0</w:t>
      </w:r>
      <w:r>
        <w:rPr>
          <w:rFonts w:hint="eastAsia"/>
        </w:rPr>
        <w:t>吨生物发酵罐运营成本为例，参考链霉菌培养方案，一批次培养所需物料成本约为1</w:t>
      </w:r>
      <w:r>
        <w:t>900</w:t>
      </w:r>
      <w:r>
        <w:rPr>
          <w:rFonts w:hint="eastAsia"/>
        </w:rPr>
        <w:t>元，基于现代生物工程运行模式，1</w:t>
      </w:r>
      <w:r>
        <w:t>0</w:t>
      </w:r>
      <w:r>
        <w:rPr>
          <w:rFonts w:hint="eastAsia"/>
        </w:rPr>
        <w:t>吨发酵罐耗水约为</w:t>
      </w:r>
      <w:r>
        <w:t>700</w:t>
      </w:r>
      <w:r>
        <w:rPr>
          <w:rFonts w:hint="eastAsia"/>
        </w:rPr>
        <w:t>立方米，耗水约为</w:t>
      </w:r>
      <w:r>
        <w:t>2900</w:t>
      </w:r>
      <w:r>
        <w:rPr>
          <w:rFonts w:hint="eastAsia"/>
        </w:rPr>
        <w:t>元。考虑上配套能源消耗，人力成本及设备维护费用以及后续提取加工所需成本约为</w:t>
      </w:r>
      <w:r>
        <w:t>2100</w:t>
      </w:r>
      <w:r>
        <w:rPr>
          <w:rFonts w:hint="eastAsia"/>
        </w:rPr>
        <w:t>元，1</w:t>
      </w:r>
      <w:r>
        <w:t>0</w:t>
      </w:r>
      <w:r>
        <w:rPr>
          <w:rFonts w:hint="eastAsia"/>
        </w:rPr>
        <w:t>吨发酵罐所需成本约为</w:t>
      </w:r>
      <w:r>
        <w:t>6900</w:t>
      </w:r>
      <w:r>
        <w:rPr>
          <w:rFonts w:hint="eastAsia"/>
        </w:rPr>
        <w:t>元。基于现有微囊泡提取技术，共计可制备</w:t>
      </w:r>
      <w:r>
        <w:t>2kg</w:t>
      </w:r>
      <w:r>
        <w:rPr>
          <w:rFonts w:hint="eastAsia"/>
        </w:rPr>
        <w:t>人造细胞。共可配置</w:t>
      </w:r>
      <w:r>
        <w:t>20mm</w:t>
      </w:r>
      <w:r>
        <w:rPr>
          <w:rFonts w:hint="eastAsia"/>
        </w:rPr>
        <w:t>厚度</w:t>
      </w:r>
      <w:r>
        <w:t>E-Glass</w:t>
      </w:r>
      <w:r>
        <w:rPr>
          <w:rFonts w:hint="eastAsia"/>
        </w:rPr>
        <w:t>玻璃</w:t>
      </w:r>
      <w:r>
        <w:t>100</w:t>
      </w:r>
      <w:r>
        <w:rPr>
          <w:rFonts w:hint="eastAsia"/>
        </w:rPr>
        <w:t>平方米。</w:t>
      </w:r>
    </w:p>
    <w:p>
      <w:pPr>
        <w:ind w:firstLine="420"/>
      </w:pPr>
      <w:r>
        <w:rPr>
          <w:rFonts w:hint="eastAsia"/>
        </w:rPr>
        <w:t>P</w:t>
      </w:r>
      <w:r>
        <w:t>DMS</w:t>
      </w:r>
      <w:r>
        <w:rPr>
          <w:rFonts w:hint="eastAsia"/>
        </w:rPr>
        <w:t>可以采用其他类型树胶材料代替，较为常见的超弹性石油树胶1吨成本约为7</w:t>
      </w:r>
      <w:r>
        <w:t>00</w:t>
      </w:r>
      <w:r>
        <w:rPr>
          <w:rFonts w:hint="eastAsia"/>
        </w:rPr>
        <w:t>元，项目独创的糖析法可使制备的多孔介质材料在原材料基础上，体积膨大一倍，密度越为</w:t>
      </w:r>
      <w:r>
        <w:t>500kg/m</w:t>
      </w:r>
      <w:r>
        <w:rPr>
          <w:vertAlign w:val="superscript"/>
        </w:rPr>
        <w:t>3</w:t>
      </w:r>
      <w:r>
        <w:rPr>
          <w:rFonts w:hint="eastAsia"/>
        </w:rPr>
        <w:t>。以2</w:t>
      </w:r>
      <w:r>
        <w:t>0mm</w:t>
      </w:r>
      <w:r>
        <w:rPr>
          <w:rFonts w:hint="eastAsia"/>
        </w:rPr>
        <w:t>厚度E</w:t>
      </w:r>
      <w:r>
        <w:t>-Glass</w:t>
      </w:r>
      <w:r>
        <w:rPr>
          <w:rFonts w:hint="eastAsia"/>
        </w:rPr>
        <w:t>为例，所需</w:t>
      </w:r>
      <w:r>
        <w:t>PDMS</w:t>
      </w:r>
      <w:r>
        <w:rPr>
          <w:rFonts w:hint="eastAsia"/>
        </w:rPr>
        <w:t>填充介质越占总体积的3</w:t>
      </w:r>
      <w:r>
        <w:t>0%</w:t>
      </w:r>
      <w:r>
        <w:rPr>
          <w:rFonts w:hint="eastAsia"/>
        </w:rPr>
        <w:t>。而一吨传统钢化玻璃成本约为2</w:t>
      </w:r>
      <w:r>
        <w:t>000</w:t>
      </w:r>
      <w:r>
        <w:rPr>
          <w:rFonts w:hint="eastAsia"/>
        </w:rPr>
        <w:t>元每吨，密度2</w:t>
      </w:r>
      <w:r>
        <w:t>500kg/m</w:t>
      </w:r>
      <w:r>
        <w:rPr>
          <w:vertAlign w:val="superscript"/>
        </w:rPr>
        <w:t>3</w:t>
      </w:r>
      <w:r>
        <w:rPr>
          <w:rFonts w:hint="eastAsia"/>
        </w:rPr>
        <w:t>。</w:t>
      </w:r>
    </w:p>
    <w:p>
      <w:pPr>
        <w:ind w:firstLine="420"/>
        <w:rPr>
          <w:rFonts w:hint="eastAsia" w:ascii="MicrosoftYaHei" w:hAnsi="MicrosoftYaHei"/>
          <w:color w:val="333333"/>
          <w:spacing w:val="8"/>
          <w:shd w:val="clear" w:color="auto" w:fill="F8F9F9"/>
        </w:rPr>
      </w:pPr>
      <w:r>
        <w:rPr>
          <w:rFonts w:hint="eastAsia"/>
        </w:rPr>
        <w:t>据此估算， E</w:t>
      </w:r>
      <w:r>
        <w:t>-G</w:t>
      </w:r>
      <w:r>
        <w:rPr>
          <w:rFonts w:hint="eastAsia"/>
        </w:rPr>
        <w:t>l</w:t>
      </w:r>
      <w:r>
        <w:t>ass</w:t>
      </w:r>
      <w:r>
        <w:rPr>
          <w:rFonts w:hint="eastAsia"/>
        </w:rPr>
        <w:t>密度约为1</w:t>
      </w:r>
      <w:r>
        <w:t>900</w:t>
      </w:r>
      <w:r>
        <w:rPr>
          <w:rFonts w:hint="eastAsia"/>
        </w:rPr>
        <w:t>kg</w:t>
      </w:r>
      <w:r>
        <w:t>/m</w:t>
      </w:r>
      <w:r>
        <w:rPr>
          <w:vertAlign w:val="superscript"/>
        </w:rPr>
        <w:t>3</w:t>
      </w:r>
      <w:r>
        <w:rPr>
          <w:rFonts w:hint="eastAsia"/>
        </w:rPr>
        <w:t>。1立方米E</w:t>
      </w:r>
      <w:r>
        <w:t>-G</w:t>
      </w:r>
      <w:r>
        <w:rPr>
          <w:rFonts w:hint="eastAsia"/>
        </w:rPr>
        <w:t>lass可制备2</w:t>
      </w:r>
      <w:r>
        <w:t>0mm</w:t>
      </w:r>
      <w:r>
        <w:rPr>
          <w:rFonts w:hint="eastAsia"/>
        </w:rPr>
        <w:t>厚度玻璃</w:t>
      </w:r>
      <w:r>
        <w:t>50</w:t>
      </w:r>
      <w:r>
        <w:rPr>
          <w:rFonts w:hint="eastAsia"/>
        </w:rPr>
        <w:t>平方米。成本共计</w:t>
      </w:r>
      <w:r>
        <w:t>6300</w:t>
      </w:r>
      <w:r>
        <w:rPr>
          <w:rFonts w:hint="eastAsia"/>
        </w:rPr>
        <w:t>元，一平方米2</w:t>
      </w:r>
      <w:r>
        <w:t>0mm</w:t>
      </w:r>
      <w:r>
        <w:rPr>
          <w:rFonts w:hint="eastAsia"/>
        </w:rPr>
        <w:t>厚度E</w:t>
      </w:r>
      <w:r>
        <w:t>-Glass</w:t>
      </w:r>
      <w:r>
        <w:rPr>
          <w:rFonts w:hint="eastAsia"/>
        </w:rPr>
        <w:t>的成本约为</w:t>
      </w:r>
      <w:r>
        <w:rPr>
          <w:rFonts w:hint="eastAsia"/>
          <w:b/>
          <w:bCs/>
        </w:rPr>
        <w:t>1</w:t>
      </w:r>
      <w:r>
        <w:rPr>
          <w:b/>
          <w:bCs/>
        </w:rPr>
        <w:t>26</w:t>
      </w:r>
      <w:r>
        <w:rPr>
          <w:rFonts w:hint="eastAsia"/>
          <w:b/>
          <w:bCs/>
        </w:rPr>
        <w:t>元</w:t>
      </w:r>
      <w:r>
        <w:rPr>
          <w:rFonts w:hint="eastAsia"/>
        </w:rPr>
        <w:t>。</w:t>
      </w:r>
      <w:r>
        <w:rPr>
          <w:rFonts w:cs="Times New Roman"/>
        </w:rPr>
        <w:t>横向对比，</w:t>
      </w:r>
      <w:r>
        <w:rPr>
          <w:rFonts w:cs="Times New Roman"/>
          <w:color w:val="333333"/>
          <w:spacing w:val="8"/>
          <w:shd w:val="clear" w:color="auto" w:fill="F8F9F9"/>
        </w:rPr>
        <w:t>3.2毫米光伏压延玻璃成本约为35元/m</w:t>
      </w:r>
      <w:r>
        <w:rPr>
          <w:rFonts w:cs="Times New Roman"/>
          <w:color w:val="333333"/>
          <w:spacing w:val="8"/>
          <w:shd w:val="clear" w:color="auto" w:fill="F8F9F9"/>
          <w:vertAlign w:val="superscript"/>
        </w:rPr>
        <w:t>2</w:t>
      </w:r>
      <w:r>
        <w:rPr>
          <w:rFonts w:cs="Times New Roman"/>
          <w:color w:val="333333"/>
          <w:spacing w:val="8"/>
          <w:shd w:val="clear" w:color="auto" w:fill="F8F9F9"/>
        </w:rPr>
        <w:t>，搭配20mm钢化玻璃，成本共计</w:t>
      </w:r>
      <w:r>
        <w:rPr>
          <w:rFonts w:cs="Times New Roman"/>
          <w:b/>
          <w:bCs/>
          <w:color w:val="333333"/>
          <w:spacing w:val="8"/>
          <w:shd w:val="clear" w:color="auto" w:fill="F8F9F9"/>
        </w:rPr>
        <w:t>85元/ m</w:t>
      </w:r>
      <w:r>
        <w:rPr>
          <w:rFonts w:cs="Times New Roman"/>
          <w:b/>
          <w:bCs/>
          <w:color w:val="333333"/>
          <w:spacing w:val="8"/>
          <w:shd w:val="clear" w:color="auto" w:fill="F8F9F9"/>
          <w:vertAlign w:val="superscript"/>
        </w:rPr>
        <w:t>2</w:t>
      </w:r>
      <w:r>
        <w:rPr>
          <w:rFonts w:cs="Times New Roman"/>
          <w:color w:val="333333"/>
          <w:spacing w:val="8"/>
          <w:shd w:val="clear" w:color="auto" w:fill="F8F9F9"/>
        </w:rPr>
        <w:t>。</w:t>
      </w:r>
    </w:p>
    <w:p>
      <w:pPr>
        <w:ind w:firstLine="420"/>
      </w:pPr>
      <w:r>
        <w:rPr>
          <w:rFonts w:hint="eastAsia"/>
        </w:rPr>
        <w:t>基于</w:t>
      </w:r>
      <w:r>
        <w:t>《关于建筑层高控制及容积率指标计算规则》</w:t>
      </w:r>
      <w:r>
        <w:rPr>
          <w:rFonts w:hint="eastAsia"/>
        </w:rPr>
        <w:t>国家标准规定，办公建筑一层高度为3</w:t>
      </w:r>
      <w:r>
        <w:t>.6m</w:t>
      </w:r>
      <w:r>
        <w:rPr>
          <w:rFonts w:hint="eastAsia"/>
        </w:rPr>
        <w:t>。一般写字楼单层占地面积1</w:t>
      </w:r>
      <w:r>
        <w:t>000m2</w:t>
      </w:r>
      <w:r>
        <w:rPr>
          <w:rFonts w:hint="eastAsia"/>
        </w:rPr>
        <w:t>。假设建筑平面为正方形，建筑外侧均采用E</w:t>
      </w:r>
      <w:r>
        <w:t>-Glass</w:t>
      </w:r>
      <w:r>
        <w:rPr>
          <w:rFonts w:hint="eastAsia"/>
        </w:rPr>
        <w:t>玻璃幕墙，则一幢5</w:t>
      </w:r>
      <w:r>
        <w:t>0</w:t>
      </w:r>
      <w:r>
        <w:rPr>
          <w:rFonts w:hint="eastAsia"/>
        </w:rPr>
        <w:t>层办公建筑所需建筑玻璃面积约为2</w:t>
      </w:r>
      <w:r>
        <w:t>2700</w:t>
      </w:r>
      <w:r>
        <w:rPr>
          <w:rFonts w:hint="eastAsia"/>
        </w:rPr>
        <w:t>平方米，成本共计2</w:t>
      </w:r>
      <w:r>
        <w:t>86</w:t>
      </w:r>
      <w:r>
        <w:rPr>
          <w:rFonts w:hint="eastAsia"/>
        </w:rPr>
        <w:t>万。</w:t>
      </w:r>
    </w:p>
    <w:bookmarkEnd w:id="28"/>
    <w:p>
      <w:pPr>
        <w:pStyle w:val="4"/>
      </w:pPr>
      <w:bookmarkStart w:id="29" w:name="_Toc137328536"/>
      <w:r>
        <w:rPr>
          <w:rFonts w:hint="eastAsia"/>
        </w:rPr>
        <w:t>5.</w:t>
      </w:r>
      <w:r>
        <w:t>1.2</w:t>
      </w:r>
      <w:r>
        <w:rPr>
          <w:rFonts w:hint="eastAsia"/>
        </w:rPr>
        <w:t>水资源回收系统成本估算</w:t>
      </w:r>
      <w:bookmarkEnd w:id="29"/>
    </w:p>
    <w:p>
      <w:r>
        <w:tab/>
      </w:r>
      <w:r>
        <w:rPr>
          <w:rFonts w:hint="eastAsia"/>
        </w:rPr>
        <w:t>水资源回收系统所需设备主要为Bi</w:t>
      </w:r>
      <w:r>
        <w:t>O-MEMS</w:t>
      </w:r>
      <w:r>
        <w:rPr>
          <w:rFonts w:hint="eastAsia"/>
        </w:rPr>
        <w:t>微流控系统，管道成本搭配所需电机成本约为</w:t>
      </w:r>
      <w:r>
        <w:t>2</w:t>
      </w:r>
      <w:r>
        <w:rPr>
          <w:rFonts w:hint="eastAsia"/>
        </w:rPr>
        <w:t>万元。</w:t>
      </w:r>
    </w:p>
    <w:p>
      <w:pPr>
        <w:pStyle w:val="4"/>
      </w:pPr>
      <w:bookmarkStart w:id="30" w:name="_Toc137328537"/>
      <w:r>
        <w:rPr>
          <w:rFonts w:hint="eastAsia"/>
        </w:rPr>
        <w:t>5</w:t>
      </w:r>
      <w:r>
        <w:t>.1.3</w:t>
      </w:r>
      <w:r>
        <w:rPr>
          <w:rFonts w:hint="eastAsia"/>
        </w:rPr>
        <w:t>智能控制系统成本估算</w:t>
      </w:r>
      <w:bookmarkEnd w:id="30"/>
    </w:p>
    <w:p>
      <w:r>
        <w:tab/>
      </w:r>
      <w:r>
        <w:rPr>
          <w:rFonts w:hint="eastAsia"/>
        </w:rPr>
        <w:t>智能控制系统以F</w:t>
      </w:r>
      <w:r>
        <w:t>PGA</w:t>
      </w:r>
      <w:r>
        <w:rPr>
          <w:rFonts w:hint="eastAsia"/>
        </w:rPr>
        <w:t>为系统主控，搭载必要M</w:t>
      </w:r>
      <w:r>
        <w:t>EMS</w:t>
      </w:r>
      <w:r>
        <w:rPr>
          <w:rFonts w:hint="eastAsia"/>
        </w:rPr>
        <w:t>传感器以及电路导线，成本约为</w:t>
      </w:r>
      <w:r>
        <w:t>3</w:t>
      </w:r>
      <w:r>
        <w:rPr>
          <w:rFonts w:hint="eastAsia"/>
        </w:rPr>
        <w:t>万元。</w:t>
      </w:r>
    </w:p>
    <w:p>
      <w:r>
        <w:tab/>
      </w:r>
      <w:r>
        <w:rPr>
          <w:rFonts w:hint="eastAsia"/>
        </w:rPr>
        <w:t>据此，为一幢5</w:t>
      </w:r>
      <w:r>
        <w:t>0</w:t>
      </w:r>
      <w:r>
        <w:rPr>
          <w:rFonts w:hint="eastAsia"/>
        </w:rPr>
        <w:t>层办公建筑配备E</w:t>
      </w:r>
      <w:r>
        <w:t>-G</w:t>
      </w:r>
      <w:r>
        <w:rPr>
          <w:rFonts w:hint="eastAsia"/>
        </w:rPr>
        <w:t>la</w:t>
      </w:r>
      <w:r>
        <w:t>ss</w:t>
      </w:r>
      <w:r>
        <w:rPr>
          <w:rFonts w:hint="eastAsia"/>
        </w:rPr>
        <w:t>智能控制系统的成本约为2</w:t>
      </w:r>
      <w:r>
        <w:t>91</w:t>
      </w:r>
      <w:r>
        <w:rPr>
          <w:rFonts w:hint="eastAsia"/>
        </w:rPr>
        <w:t>万元。</w:t>
      </w:r>
    </w:p>
    <w:p>
      <w:pPr>
        <w:pStyle w:val="3"/>
      </w:pPr>
      <w:bookmarkStart w:id="31" w:name="_Toc137328538"/>
      <w:r>
        <w:t>5.2 E-G</w:t>
      </w:r>
      <w:r>
        <w:rPr>
          <w:rFonts w:hint="eastAsia"/>
        </w:rPr>
        <w:t>lass系统效益分析</w:t>
      </w:r>
      <w:bookmarkEnd w:id="31"/>
    </w:p>
    <w:p>
      <w:pPr>
        <w:ind w:firstLine="420"/>
      </w:pPr>
      <w:r>
        <w:rPr>
          <w:rFonts w:hint="eastAsia"/>
        </w:rPr>
        <w:t>基于第四章的市场分析，E</w:t>
      </w:r>
      <w:r>
        <w:t>-Glass</w:t>
      </w:r>
      <w:r>
        <w:rPr>
          <w:rFonts w:hint="eastAsia"/>
        </w:rPr>
        <w:t>面向的市场主要为碳中和市场以及能源市场。我们以上海为例，分析在不影响室内亮度的情况下，一幢搭配有E</w:t>
      </w:r>
      <w:r>
        <w:t>-Glass</w:t>
      </w:r>
      <w:r>
        <w:rPr>
          <w:rFonts w:hint="eastAsia"/>
        </w:rPr>
        <w:t>系统的5</w:t>
      </w:r>
      <w:r>
        <w:t>0</w:t>
      </w:r>
      <w:r>
        <w:rPr>
          <w:rFonts w:hint="eastAsia"/>
        </w:rPr>
        <w:t>层建筑的产能情况以及固碳能力。</w:t>
      </w:r>
    </w:p>
    <w:p>
      <w:pPr>
        <w:ind w:firstLine="420"/>
      </w:pPr>
      <w:r>
        <w:rPr>
          <w:rFonts w:hint="eastAsia"/>
        </w:rPr>
        <w:t>基于N</w:t>
      </w:r>
      <w:r>
        <w:t>ASA</w:t>
      </w:r>
      <w:r>
        <w:rPr>
          <w:rFonts w:hint="eastAsia"/>
        </w:rPr>
        <w:t>提供的上海年日照辐射总量，以夏季平均上午七时光照强度为室内能见度的最低标准。估算理想状况下E</w:t>
      </w:r>
      <w:r>
        <w:t>-Glass</w:t>
      </w:r>
      <w:r>
        <w:rPr>
          <w:rFonts w:hint="eastAsia"/>
        </w:rPr>
        <w:t>系统的产能固碳状况。</w:t>
      </w:r>
    </w:p>
    <w:p>
      <w:pPr>
        <w:jc w:val="center"/>
        <w:rPr>
          <w:sz w:val="21"/>
          <w:szCs w:val="20"/>
        </w:rPr>
      </w:pPr>
      <w:r>
        <w:rPr>
          <w:rFonts w:hint="eastAsia"/>
          <w:sz w:val="21"/>
          <w:szCs w:val="20"/>
        </w:rPr>
        <w:t>表5</w:t>
      </w:r>
      <w:r>
        <w:rPr>
          <w:sz w:val="21"/>
          <w:szCs w:val="20"/>
        </w:rPr>
        <w:t>.2</w:t>
      </w:r>
      <w:r>
        <w:rPr>
          <w:rFonts w:hint="eastAsia"/>
          <w:sz w:val="21"/>
          <w:szCs w:val="20"/>
        </w:rPr>
        <w:t>上海2</w:t>
      </w:r>
      <w:r>
        <w:rPr>
          <w:sz w:val="21"/>
          <w:szCs w:val="20"/>
        </w:rPr>
        <w:t>022</w:t>
      </w:r>
      <w:r>
        <w:rPr>
          <w:rFonts w:hint="eastAsia"/>
          <w:sz w:val="21"/>
          <w:szCs w:val="20"/>
        </w:rPr>
        <w:t>年日照辐射量汇总</w:t>
      </w:r>
    </w:p>
    <w:p>
      <w:r>
        <w:drawing>
          <wp:inline distT="0" distB="0" distL="0" distR="0">
            <wp:extent cx="5274310" cy="2811145"/>
            <wp:effectExtent l="0" t="0" r="2540" b="8255"/>
            <wp:docPr id="551376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76390" name="图片 1"/>
                    <pic:cNvPicPr>
                      <a:picLocks noChangeAspect="1"/>
                    </pic:cNvPicPr>
                  </pic:nvPicPr>
                  <pic:blipFill>
                    <a:blip r:embed="rId18"/>
                    <a:stretch>
                      <a:fillRect/>
                    </a:stretch>
                  </pic:blipFill>
                  <pic:spPr>
                    <a:xfrm>
                      <a:off x="0" y="0"/>
                      <a:ext cx="5274310" cy="2811145"/>
                    </a:xfrm>
                    <a:prstGeom prst="rect">
                      <a:avLst/>
                    </a:prstGeom>
                  </pic:spPr>
                </pic:pic>
              </a:graphicData>
            </a:graphic>
          </wp:inline>
        </w:drawing>
      </w:r>
    </w:p>
    <w:p>
      <w:pPr>
        <w:ind w:firstLine="420"/>
      </w:pPr>
      <w:r>
        <w:rPr>
          <w:rFonts w:hint="eastAsia"/>
        </w:rPr>
        <w:t>在不考虑建筑物遮挡的情况下，结合相关文献，建筑平均采光面积按单侧面积1</w:t>
      </w:r>
      <w:r>
        <w:t>.5</w:t>
      </w:r>
      <w:r>
        <w:rPr>
          <w:rFonts w:hint="eastAsia"/>
        </w:rPr>
        <w:t>倍计算。即建筑采光面积约为9</w:t>
      </w:r>
      <w:r>
        <w:t>100m</w:t>
      </w:r>
      <w:r>
        <w:rPr>
          <w:vertAlign w:val="superscript"/>
        </w:rPr>
        <w:t>2</w:t>
      </w:r>
      <w:r>
        <w:rPr>
          <w:rFonts w:hint="eastAsia"/>
        </w:rPr>
        <w:t>。</w:t>
      </w:r>
    </w:p>
    <w:p>
      <w:pPr>
        <w:ind w:firstLine="420"/>
      </w:pPr>
      <w:r>
        <w:rPr>
          <w:rFonts w:hint="eastAsia"/>
        </w:rPr>
        <w:t>我们将每日光照度数据导入M</w:t>
      </w:r>
      <w:r>
        <w:t>ATLAB</w:t>
      </w:r>
      <w:r>
        <w:rPr>
          <w:rFonts w:hint="eastAsia"/>
        </w:rPr>
        <w:t>程序，对每日光照度以及高于早上七时光照度数值进行积分。统计分析得出结论，E</w:t>
      </w:r>
      <w:r>
        <w:t>-G</w:t>
      </w:r>
      <w:r>
        <w:rPr>
          <w:rFonts w:hint="eastAsia"/>
        </w:rPr>
        <w:t>lass所能有效吸收光照强度，约占每日光照总强度的7</w:t>
      </w:r>
      <w:r>
        <w:t>0%</w:t>
      </w:r>
      <w:r>
        <w:rPr>
          <w:rFonts w:hint="eastAsia"/>
        </w:rPr>
        <w:t>。E</w:t>
      </w:r>
      <w:r>
        <w:t>-Glass</w:t>
      </w:r>
      <w:r>
        <w:rPr>
          <w:rFonts w:hint="eastAsia"/>
        </w:rPr>
        <w:t>的光能利用效率高达9</w:t>
      </w:r>
      <w:r>
        <w:t>0%</w:t>
      </w:r>
      <w:r>
        <w:rPr>
          <w:rFonts w:hint="eastAsia"/>
        </w:rPr>
        <w:t>，在理想光合作用条件下，E</w:t>
      </w:r>
      <w:r>
        <w:t>-Glass</w:t>
      </w:r>
      <w:r>
        <w:rPr>
          <w:rFonts w:hint="eastAsia"/>
        </w:rPr>
        <w:t>单位面积产能为9</w:t>
      </w:r>
      <w:r>
        <w:t>90KW*h/m2*</w:t>
      </w:r>
      <w:r>
        <w:rPr>
          <w:rFonts w:hint="eastAsia"/>
        </w:rPr>
        <w:t>年。单幢建筑年产能</w:t>
      </w:r>
      <w:r>
        <w:t>900</w:t>
      </w:r>
      <w:r>
        <w:rPr>
          <w:rFonts w:hint="eastAsia"/>
        </w:rPr>
        <w:t>万千瓦时。对比之下，上海年用电为1750亿千瓦时。单栋建筑产能占上海总用电量千分之一。合计葡萄糖产量2</w:t>
      </w:r>
      <w:r>
        <w:t>142</w:t>
      </w:r>
      <w:r>
        <w:rPr>
          <w:rFonts w:hint="eastAsia"/>
        </w:rPr>
        <w:t>吨，总固碳量7</w:t>
      </w:r>
      <w:r>
        <w:t>06</w:t>
      </w:r>
      <w:r>
        <w:rPr>
          <w:rFonts w:hint="eastAsia"/>
        </w:rPr>
        <w:t>5吨。一吨葡萄糖单价1</w:t>
      </w:r>
      <w:r>
        <w:t>400</w:t>
      </w:r>
      <w:r>
        <w:rPr>
          <w:rFonts w:hint="eastAsia"/>
        </w:rPr>
        <w:t>元，一吨碳排放份额单价7</w:t>
      </w:r>
      <w:r>
        <w:t>27</w:t>
      </w:r>
      <w:r>
        <w:rPr>
          <w:rFonts w:hint="eastAsia"/>
        </w:rPr>
        <w:t>元，产值总计折合人民币8</w:t>
      </w:r>
      <w:r>
        <w:t>13.5</w:t>
      </w:r>
      <w:r>
        <w:rPr>
          <w:rFonts w:hint="eastAsia"/>
        </w:rPr>
        <w:t>万元。年收益约为系统成本的三倍。</w:t>
      </w:r>
    </w:p>
    <w:p>
      <w:pPr>
        <w:pStyle w:val="3"/>
      </w:pPr>
      <w:bookmarkStart w:id="32" w:name="_Toc137328539"/>
      <w:r>
        <w:rPr>
          <w:rFonts w:hint="eastAsia"/>
        </w:rPr>
        <w:t>5.</w:t>
      </w:r>
      <w:r>
        <w:t>3</w:t>
      </w:r>
      <w:r>
        <w:rPr>
          <w:rFonts w:hint="eastAsia"/>
        </w:rPr>
        <w:t>竞品分析</w:t>
      </w:r>
      <w:bookmarkEnd w:id="32"/>
    </w:p>
    <w:p>
      <w:r>
        <w:tab/>
      </w:r>
      <w:r>
        <w:t>E-G</w:t>
      </w:r>
      <w:r>
        <w:rPr>
          <w:rFonts w:hint="eastAsia"/>
        </w:rPr>
        <w:t>las</w:t>
      </w:r>
      <w:r>
        <w:t>s</w:t>
      </w:r>
      <w:r>
        <w:rPr>
          <w:rFonts w:hint="eastAsia"/>
        </w:rPr>
        <w:t>在建筑玻璃领域的主要竞争对手为硅光电池为代表的光伏产品。以“</w:t>
      </w:r>
      <w:r>
        <w:rPr>
          <w:rFonts w:ascii="MicrosoftYaHei" w:hAnsi="MicrosoftYaHei"/>
          <w:color w:val="333333"/>
          <w:spacing w:val="8"/>
          <w:shd w:val="clear" w:color="auto" w:fill="F8F9F9"/>
        </w:rPr>
        <w:t>光储直柔”</w:t>
      </w:r>
      <w:r>
        <w:rPr>
          <w:rFonts w:hint="eastAsia"/>
        </w:rPr>
        <w:t>技术为例，最先进的基于</w:t>
      </w:r>
      <w:r>
        <w:t>碲化镉薄膜</w:t>
      </w:r>
      <w:r>
        <w:rPr>
          <w:rFonts w:hint="eastAsia"/>
        </w:rPr>
        <w:t>的光伏玻璃其光能利用效率约为2</w:t>
      </w:r>
      <w:r>
        <w:t>0%</w:t>
      </w:r>
      <w:r>
        <w:rPr>
          <w:rFonts w:hint="eastAsia"/>
        </w:rPr>
        <w:t>，主流量产的多晶硅光伏玻璃，其光能利用率不到1</w:t>
      </w:r>
      <w:r>
        <w:t>5%</w:t>
      </w:r>
      <w:r>
        <w:rPr>
          <w:rFonts w:hint="eastAsia"/>
        </w:rPr>
        <w:t>。</w:t>
      </w:r>
    </w:p>
    <w:p>
      <w:r>
        <w:drawing>
          <wp:inline distT="0" distB="0" distL="0" distR="0">
            <wp:extent cx="5248275" cy="2628900"/>
            <wp:effectExtent l="0" t="0" r="9525" b="0"/>
            <wp:docPr id="20657613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61313" name="图片 14"/>
                    <pic:cNvPicPr>
                      <a:picLocks noChangeAspect="1" noChangeArrowheads="1"/>
                    </pic:cNvPicPr>
                  </pic:nvPicPr>
                  <pic:blipFill>
                    <a:blip r:embed="rId19">
                      <a:extLst>
                        <a:ext uri="{28A0092B-C50C-407E-A947-70E740481C1C}">
                          <a14:useLocalDpi xmlns:a14="http://schemas.microsoft.com/office/drawing/2010/main" val="0"/>
                        </a:ext>
                      </a:extLst>
                    </a:blip>
                    <a:srcRect b="10967"/>
                    <a:stretch>
                      <a:fillRect/>
                    </a:stretch>
                  </pic:blipFill>
                  <pic:spPr>
                    <a:xfrm>
                      <a:off x="0" y="0"/>
                      <a:ext cx="5248275" cy="2628900"/>
                    </a:xfrm>
                    <a:prstGeom prst="rect">
                      <a:avLst/>
                    </a:prstGeom>
                    <a:noFill/>
                    <a:ln>
                      <a:noFill/>
                    </a:ln>
                  </pic:spPr>
                </pic:pic>
              </a:graphicData>
            </a:graphic>
          </wp:inline>
        </w:drawing>
      </w:r>
    </w:p>
    <w:p>
      <w:pPr>
        <w:jc w:val="center"/>
        <w:rPr>
          <w:sz w:val="21"/>
          <w:szCs w:val="20"/>
        </w:rPr>
      </w:pPr>
      <w:r>
        <w:rPr>
          <w:rFonts w:hint="eastAsia"/>
          <w:sz w:val="21"/>
          <w:szCs w:val="20"/>
        </w:rPr>
        <w:t>图5</w:t>
      </w:r>
      <w:r>
        <w:rPr>
          <w:sz w:val="21"/>
          <w:szCs w:val="20"/>
        </w:rPr>
        <w:t>.3</w:t>
      </w:r>
      <w:r>
        <w:rPr>
          <w:rFonts w:hint="eastAsia"/>
          <w:sz w:val="21"/>
          <w:szCs w:val="20"/>
        </w:rPr>
        <w:t>世界上首个“</w:t>
      </w:r>
      <w:r>
        <w:rPr>
          <w:sz w:val="21"/>
          <w:szCs w:val="20"/>
        </w:rPr>
        <w:t>光储直柔</w:t>
      </w:r>
      <w:r>
        <w:rPr>
          <w:rFonts w:hint="eastAsia"/>
          <w:sz w:val="21"/>
          <w:szCs w:val="20"/>
        </w:rPr>
        <w:t>”建筑</w:t>
      </w:r>
    </w:p>
    <w:p>
      <w:r>
        <w:tab/>
      </w:r>
      <w:r>
        <w:rPr>
          <w:rFonts w:hint="eastAsia"/>
        </w:rPr>
        <w:t>图5</w:t>
      </w:r>
      <w:r>
        <w:t>.3</w:t>
      </w:r>
      <w:r>
        <w:rPr>
          <w:rFonts w:hint="eastAsia"/>
        </w:rPr>
        <w:t>所示的建于</w:t>
      </w:r>
      <w:r>
        <w:t>深圳中建绿色产业园</w:t>
      </w:r>
      <w:r>
        <w:rPr>
          <w:rFonts w:hint="eastAsia"/>
        </w:rPr>
        <w:t>的</w:t>
      </w:r>
      <w:r>
        <w:t>综合办公楼</w:t>
      </w:r>
      <w:r>
        <w:rPr>
          <w:rFonts w:hint="eastAsia"/>
        </w:rPr>
        <w:t>是世界上首个“</w:t>
      </w:r>
      <w:r>
        <w:t>光储直柔”</w:t>
      </w:r>
      <w:r>
        <w:rPr>
          <w:rFonts w:hint="eastAsia"/>
        </w:rPr>
        <w:t>建筑，其建筑面积2500平方米，年产电能1</w:t>
      </w:r>
      <w:r>
        <w:t>0</w:t>
      </w:r>
      <w:r>
        <w:rPr>
          <w:rFonts w:hint="eastAsia"/>
        </w:rPr>
        <w:t>万千瓦时，减排C</w:t>
      </w:r>
      <w:r>
        <w:t>O2</w:t>
      </w:r>
      <w:r>
        <w:rPr>
          <w:rFonts w:hint="eastAsia"/>
        </w:rPr>
        <w:t>约7</w:t>
      </w:r>
      <w:r>
        <w:t>06</w:t>
      </w:r>
      <w:r>
        <w:rPr>
          <w:rFonts w:hint="eastAsia"/>
        </w:rPr>
        <w:t>吨，E</w:t>
      </w:r>
      <w:r>
        <w:t>-Glass</w:t>
      </w:r>
      <w:r>
        <w:rPr>
          <w:rFonts w:hint="eastAsia"/>
        </w:rPr>
        <w:t>与其相比，具有无与伦比的效率且在建筑玻璃领域无可替代。</w:t>
      </w:r>
    </w:p>
    <w:p>
      <w:pPr>
        <w:ind w:firstLine="420"/>
      </w:pPr>
      <w:r>
        <w:rPr>
          <w:rFonts w:hint="eastAsia"/>
        </w:rPr>
        <w:t>此外，E-Glass拥有完全不同的能源转化方式。传统能源倾向于将不同形式的能量直接转化为电能来利用，但这一过程中伴随着诸多缺陷：第一，工业用能强调燃料产能比与成本问题，因此绝大多数工厂选择煤炭供能。电能产生方式的清洁对该部分能量结构的改变影响甚微。而E-Glass人工光合产物葡萄糖只需要一步变化便可以转化为高效燃料——乙醇，供给工厂和汽车利用。第二：葡萄糖较为稳定，可以安全地大量长期储存。传统产生电能的能源利用形式只能保证产生电压和输出电压相等，当不具备产能条件时，便会导致系统输出断电。而E-Glass实时感知调度光合作用模块，将多余能量固定为葡萄糖形式，实现更高的能量利用率。</w:t>
      </w:r>
    </w:p>
    <w:p>
      <w:pPr>
        <w:jc w:val="center"/>
      </w:pPr>
      <w:r>
        <w:drawing>
          <wp:inline distT="0" distB="0" distL="0" distR="0">
            <wp:extent cx="3543300" cy="2080895"/>
            <wp:effectExtent l="0" t="0" r="0" b="0"/>
            <wp:docPr id="2141193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93314" name="图片 1"/>
                    <pic:cNvPicPr>
                      <a:picLocks noChangeAspect="1"/>
                    </pic:cNvPicPr>
                  </pic:nvPicPr>
                  <pic:blipFill>
                    <a:blip r:embed="rId20"/>
                    <a:stretch>
                      <a:fillRect/>
                    </a:stretch>
                  </pic:blipFill>
                  <pic:spPr>
                    <a:xfrm>
                      <a:off x="0" y="0"/>
                      <a:ext cx="3554610" cy="2088001"/>
                    </a:xfrm>
                    <a:prstGeom prst="rect">
                      <a:avLst/>
                    </a:prstGeom>
                  </pic:spPr>
                </pic:pic>
              </a:graphicData>
            </a:graphic>
          </wp:inline>
        </w:drawing>
      </w:r>
    </w:p>
    <w:p>
      <w:pPr>
        <w:jc w:val="center"/>
        <w:rPr>
          <w:sz w:val="21"/>
          <w:szCs w:val="20"/>
        </w:rPr>
      </w:pPr>
      <w:r>
        <w:rPr>
          <w:rFonts w:hint="eastAsia"/>
          <w:sz w:val="21"/>
          <w:szCs w:val="20"/>
        </w:rPr>
        <w:t>图5</w:t>
      </w:r>
      <w:r>
        <w:rPr>
          <w:sz w:val="21"/>
          <w:szCs w:val="20"/>
        </w:rPr>
        <w:t>.4E-Glass</w:t>
      </w:r>
      <w:r>
        <w:rPr>
          <w:rFonts w:hint="eastAsia"/>
          <w:sz w:val="21"/>
          <w:szCs w:val="20"/>
        </w:rPr>
        <w:t>和主要光能利用途径效率对比图</w:t>
      </w:r>
    </w:p>
    <w:p>
      <w:pPr>
        <w:ind w:firstLine="360"/>
      </w:pPr>
      <w:r>
        <w:tab/>
      </w:r>
      <w:r>
        <w:rPr>
          <w:rFonts w:hint="eastAsia"/>
        </w:rPr>
        <w:t>将E</w:t>
      </w:r>
      <w:r>
        <w:t>-G</w:t>
      </w:r>
      <w:r>
        <w:rPr>
          <w:rFonts w:hint="eastAsia"/>
        </w:rPr>
        <w:t>l</w:t>
      </w:r>
      <w:r>
        <w:t>ass</w:t>
      </w:r>
      <w:r>
        <w:rPr>
          <w:rFonts w:hint="eastAsia"/>
        </w:rPr>
        <w:t>和农田以及光伏发电站进行对比，其优势更为明显。虽然同样利用光合作用固定光能，E</w:t>
      </w:r>
      <w:r>
        <w:t>-G</w:t>
      </w:r>
      <w:r>
        <w:rPr>
          <w:rFonts w:hint="eastAsia"/>
        </w:rPr>
        <w:t>las</w:t>
      </w:r>
      <w:r>
        <w:t>s</w:t>
      </w:r>
      <w:r>
        <w:rPr>
          <w:rFonts w:hint="eastAsia"/>
        </w:rPr>
        <w:t>摆脱了植物生长发育过程对水资源以及能量的大量消耗，葡萄糖产能为同面积耕地产能1</w:t>
      </w:r>
      <w:r>
        <w:t>500</w:t>
      </w:r>
      <w:r>
        <w:rPr>
          <w:rFonts w:hint="eastAsia"/>
        </w:rPr>
        <w:t>倍。对比光伏发电站，E</w:t>
      </w:r>
      <w:r>
        <w:t>-</w:t>
      </w:r>
      <w:r>
        <w:rPr>
          <w:rFonts w:hint="eastAsia"/>
        </w:rPr>
        <w:t>Glass即装即用，无能量运输损耗。传统能源利用形式将各种形式的能量转化为电能，但产能地与用能地往往距离较远（如西电东送），需要长距离输电从而导致能量浪费。在产能地，清洁电站往往作为巨型工程，在产能地占据了大量土地资源。E-Glass基于自身高效的光合结构和自适应智能控制芯片，在各种环境下即装即用，对环境要求极低，从而大大减少了能源输送损耗。同时，E-Glass作为外墙玻璃，不额外单独占据土地面积，为“寸土寸金”的未来世界“精打细算”。</w:t>
      </w:r>
    </w:p>
    <w:p>
      <w:pPr>
        <w:pStyle w:val="2"/>
      </w:pPr>
      <w:bookmarkStart w:id="33" w:name="_Toc137328540"/>
      <w:r>
        <w:rPr>
          <w:rFonts w:hint="eastAsia"/>
        </w:rPr>
        <w:t>第六章 战略目标与规划</w:t>
      </w:r>
      <w:bookmarkEnd w:id="33"/>
    </w:p>
    <w:p>
      <w:pPr>
        <w:ind w:firstLine="420"/>
      </w:pPr>
      <w:r>
        <w:rPr>
          <w:rFonts w:hint="eastAsia"/>
        </w:rPr>
        <w:t>随着</w:t>
      </w:r>
      <w:r>
        <w:t>越来越多的房地产企业在实现自身发展的同时，也开始注重低排放、高品质、降本增效等特征，重塑行业发展新形象。</w:t>
      </w:r>
      <w:r>
        <w:rPr>
          <w:rFonts w:hint="eastAsia"/>
        </w:rPr>
        <w:t>同时针对现有碳中和大背景下，国家新能源产业规划布局，E</w:t>
      </w:r>
      <w:r>
        <w:t>-G</w:t>
      </w:r>
      <w:r>
        <w:rPr>
          <w:rFonts w:hint="eastAsia"/>
        </w:rPr>
        <w:t>lass</w:t>
      </w:r>
      <w:r>
        <w:t>从</w:t>
      </w:r>
      <w:r>
        <w:rPr>
          <w:rFonts w:hint="eastAsia"/>
          <w:b/>
          <w:bCs/>
        </w:rPr>
        <w:t>零</w:t>
      </w:r>
      <w:r>
        <w:rPr>
          <w:b/>
          <w:bCs/>
        </w:rPr>
        <w:t>碳</w:t>
      </w:r>
      <w:r>
        <w:rPr>
          <w:rFonts w:hint="eastAsia"/>
          <w:b/>
          <w:bCs/>
        </w:rPr>
        <w:t>运营</w:t>
      </w:r>
      <w:r>
        <w:t>，</w:t>
      </w:r>
      <w:r>
        <w:rPr>
          <w:rFonts w:hint="eastAsia"/>
          <w:b/>
          <w:bCs/>
        </w:rPr>
        <w:t>数智管理</w:t>
      </w:r>
      <w:r>
        <w:t>和</w:t>
      </w:r>
      <w:r>
        <w:rPr>
          <w:rFonts w:hint="eastAsia"/>
          <w:b/>
          <w:bCs/>
        </w:rPr>
        <w:t>重塑布局</w:t>
      </w:r>
      <w:r>
        <w:t>三个维度，</w:t>
      </w:r>
      <w:r>
        <w:rPr>
          <w:rFonts w:hint="eastAsia"/>
        </w:rPr>
        <w:t>针对</w:t>
      </w:r>
      <w:r>
        <w:t>房地产行业正处于绿色低碳转型的关键时期</w:t>
      </w:r>
      <w:r>
        <w:rPr>
          <w:rFonts w:hint="eastAsia"/>
        </w:rPr>
        <w:t>,</w:t>
      </w:r>
      <w:r>
        <w:t xml:space="preserve"> 为</w:t>
      </w:r>
      <w:r>
        <w:rPr>
          <w:rFonts w:hint="eastAsia"/>
        </w:rPr>
        <w:t>房地产商</w:t>
      </w:r>
      <w:r>
        <w:t>提供全流程解决方案</w:t>
      </w:r>
      <w:r>
        <w:rPr>
          <w:rFonts w:hint="eastAsia"/>
        </w:rPr>
        <w:t>，变“消费者”为“产能者”，</w:t>
      </w:r>
      <w:r>
        <w:t>助</w:t>
      </w:r>
      <w:r>
        <w:rPr>
          <w:rFonts w:hint="eastAsia"/>
        </w:rPr>
        <w:t>力建筑产业</w:t>
      </w:r>
      <w:r>
        <w:t>通过实际行动实现可持续发展愿景，并获得更高的财务、环境和社会收益。</w:t>
      </w:r>
      <w:r>
        <w:rPr>
          <w:rFonts w:hint="eastAsia"/>
        </w:rPr>
        <w:t>同时提出颠覆现有光伏发电的太阳能利用方案，成为</w:t>
      </w:r>
      <w:r>
        <w:t>可</w:t>
      </w:r>
      <w:r>
        <w:rPr>
          <w:rFonts w:hint="eastAsia"/>
        </w:rPr>
        <w:t>再生能源发展</w:t>
      </w:r>
      <w:r>
        <w:t>不可或缺的新力量。</w:t>
      </w:r>
    </w:p>
    <w:p>
      <w:pPr>
        <w:pStyle w:val="3"/>
      </w:pPr>
      <w:bookmarkStart w:id="34" w:name="_Toc137328541"/>
      <w:r>
        <w:t xml:space="preserve">6.1 </w:t>
      </w:r>
      <w:r>
        <w:rPr>
          <w:rFonts w:hint="eastAsia"/>
        </w:rPr>
        <w:t>零碳运营</w:t>
      </w:r>
      <w:bookmarkEnd w:id="34"/>
    </w:p>
    <w:p>
      <w:pPr>
        <w:ind w:firstLine="420"/>
      </w:pPr>
      <w:r>
        <w:rPr>
          <w:rFonts w:hint="eastAsia"/>
        </w:rPr>
        <w:t>根据《建筑碳排放计算标准》GB/T51366-2019，综合暖通空调、生活热水、照明及电梯、可再生能源以及建筑碳汇系统计算得到的运行期建筑总碳排放量即为运行阶段建筑碳排放。</w:t>
      </w:r>
    </w:p>
    <w:p>
      <w:r>
        <w:drawing>
          <wp:inline distT="0" distB="0" distL="0" distR="0">
            <wp:extent cx="5274310" cy="2489200"/>
            <wp:effectExtent l="0" t="0" r="2540" b="6350"/>
            <wp:docPr id="478049083" name="图片 2" descr="图表4：节能建筑发展技术阶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49083" name="图片 2" descr="图表4：节能建筑发展技术阶段"/>
                    <pic:cNvPicPr>
                      <a:picLocks noChangeAspect="1" noChangeArrowheads="1"/>
                    </pic:cNvPicPr>
                  </pic:nvPicPr>
                  <pic:blipFill>
                    <a:blip r:embed="rId21">
                      <a:extLst>
                        <a:ext uri="{28A0092B-C50C-407E-A947-70E740481C1C}">
                          <a14:useLocalDpi xmlns:a14="http://schemas.microsoft.com/office/drawing/2010/main" val="0"/>
                        </a:ext>
                      </a:extLst>
                    </a:blip>
                    <a:srcRect t="15090" b="9073"/>
                    <a:stretch>
                      <a:fillRect/>
                    </a:stretch>
                  </pic:blipFill>
                  <pic:spPr>
                    <a:xfrm>
                      <a:off x="0" y="0"/>
                      <a:ext cx="5274310" cy="2489200"/>
                    </a:xfrm>
                    <a:prstGeom prst="rect">
                      <a:avLst/>
                    </a:prstGeom>
                    <a:noFill/>
                    <a:ln>
                      <a:noFill/>
                    </a:ln>
                  </pic:spPr>
                </pic:pic>
              </a:graphicData>
            </a:graphic>
          </wp:inline>
        </w:drawing>
      </w:r>
    </w:p>
    <w:p>
      <w:pPr>
        <w:jc w:val="center"/>
        <w:rPr>
          <w:sz w:val="21"/>
          <w:szCs w:val="20"/>
        </w:rPr>
      </w:pPr>
      <w:r>
        <w:rPr>
          <w:rFonts w:hint="eastAsia"/>
          <w:sz w:val="21"/>
          <w:szCs w:val="20"/>
        </w:rPr>
        <w:t>图6</w:t>
      </w:r>
      <w:r>
        <w:rPr>
          <w:sz w:val="21"/>
          <w:szCs w:val="20"/>
        </w:rPr>
        <w:t xml:space="preserve">.1 </w:t>
      </w:r>
      <w:r>
        <w:rPr>
          <w:rFonts w:hint="eastAsia"/>
          <w:sz w:val="21"/>
          <w:szCs w:val="20"/>
        </w:rPr>
        <w:t>零能耗建筑原理图</w:t>
      </w:r>
    </w:p>
    <w:p>
      <w:r>
        <w:tab/>
      </w:r>
      <w:r>
        <w:rPr>
          <w:rFonts w:hint="eastAsia"/>
        </w:rPr>
        <w:t>在建筑节能道路实现的过程中，依照其实现难度可以大致划分为超低能耗建筑、近零能耗建筑和零能耗建筑三个大阶段。零能耗建筑要求建筑在充分利用建筑物本体及周边或外购的可再生能源，使可再生能源全年供能大于等于建筑物全年全部用能。</w:t>
      </w:r>
    </w:p>
    <w:p>
      <w:r>
        <w:tab/>
      </w:r>
      <w:r>
        <w:rPr>
          <w:rFonts w:hint="eastAsia"/>
        </w:rPr>
        <w:t>目前主流技术可以分为</w:t>
      </w:r>
      <w:r>
        <w:rPr>
          <w:rFonts w:hint="eastAsia"/>
          <w:b/>
          <w:bCs/>
        </w:rPr>
        <w:t>被动式节能技术</w:t>
      </w:r>
      <w:r>
        <w:rPr>
          <w:rFonts w:hint="eastAsia"/>
        </w:rPr>
        <w:t>和</w:t>
      </w:r>
      <w:r>
        <w:rPr>
          <w:rFonts w:hint="eastAsia"/>
          <w:b/>
          <w:bCs/>
        </w:rPr>
        <w:t>主动式节能技术</w:t>
      </w:r>
      <w:r>
        <w:rPr>
          <w:rFonts w:hint="eastAsia"/>
        </w:rPr>
        <w:t>。</w:t>
      </w:r>
    </w:p>
    <w:p>
      <w:pPr>
        <w:ind w:firstLine="420"/>
      </w:pPr>
      <w:r>
        <w:rPr>
          <w:rFonts w:hint="eastAsia"/>
        </w:rPr>
        <w:t>被动式节能是指提供节能保温材料和施工手段以达到节能目的，如：真空玻璃节能门窗、真空绝热保温板材等。</w:t>
      </w:r>
    </w:p>
    <w:p>
      <w:pPr>
        <w:ind w:firstLine="420"/>
      </w:pPr>
      <w:r>
        <w:rPr>
          <w:rFonts w:hint="eastAsia"/>
        </w:rPr>
        <w:t>主动式节能技术是指从能量源头入手实现节能，如：新风空调一体机（将热风融入到空调体系中，用新风的末端来实现采暖、制冷和供应新风）以及光伏建筑一体化等技术。</w:t>
      </w:r>
    </w:p>
    <w:p>
      <w:pPr>
        <w:ind w:firstLine="420"/>
      </w:pPr>
      <w:r>
        <w:rPr>
          <w:rFonts w:hint="eastAsia"/>
        </w:rPr>
        <w:t>无论是现有的被动式节能技术还是主动式节能技术均无法单独实现零能耗建筑目标。作为建筑业科技赋能的最新成果，E</w:t>
      </w:r>
      <w:r>
        <w:t>-G</w:t>
      </w:r>
      <w:r>
        <w:rPr>
          <w:rFonts w:hint="eastAsia"/>
        </w:rPr>
        <w:t>lass以其超高效的固碳效率以及巨大的产能红利成为建筑业转型升级，构筑绿色建筑的不二之选。</w:t>
      </w:r>
    </w:p>
    <w:p>
      <w:pPr>
        <w:pStyle w:val="3"/>
      </w:pPr>
      <w:bookmarkStart w:id="35" w:name="_Toc137328542"/>
      <w:r>
        <w:rPr>
          <w:rFonts w:hint="eastAsia"/>
        </w:rPr>
        <w:t>6</w:t>
      </w:r>
      <w:r>
        <w:t>.2</w:t>
      </w:r>
      <w:r>
        <w:rPr>
          <w:rFonts w:hint="eastAsia"/>
        </w:rPr>
        <w:t>数智管理</w:t>
      </w:r>
      <w:bookmarkEnd w:id="35"/>
    </w:p>
    <w:p>
      <w:r>
        <w:tab/>
      </w:r>
      <w:r>
        <w:t>E-G</w:t>
      </w:r>
      <w:r>
        <w:rPr>
          <w:rFonts w:hint="eastAsia"/>
        </w:rPr>
        <w:t>la</w:t>
      </w:r>
      <w:r>
        <w:t>ss</w:t>
      </w:r>
      <w:r>
        <w:rPr>
          <w:rFonts w:hint="eastAsia"/>
        </w:rPr>
        <w:t>的智能控制系统，除了可以实现对E</w:t>
      </w:r>
      <w:r>
        <w:t>-Glass</w:t>
      </w:r>
      <w:r>
        <w:rPr>
          <w:rFonts w:hint="eastAsia"/>
        </w:rPr>
        <w:t>自身工作状态的监测外，同样可以拓展成为数智化技术，构建智慧建筑，为城市提供综合能源服务。</w:t>
      </w:r>
    </w:p>
    <w:p>
      <w:r>
        <w:t>“双碳”背景下，建筑系统从传统的用能主体逐步转变为能源产销复合体，建筑能源系统由传统的“集中式供能+建筑内部能量监控”系统向“分布式多能互补+智慧能源管理”系统转变</w:t>
      </w:r>
      <w:r>
        <w:rPr>
          <w:rFonts w:hint="eastAsia"/>
        </w:rPr>
        <w:t>。</w:t>
      </w:r>
      <w:r>
        <w:t>随着信息技术的发展，新型建筑能源系统将通过智慧能量管理系统（Building Energy Management System，BEMS）采集并统一处理系统内部能量流通各环节的数据信息，根据获取到的实时数据信息对系统设备进行出力决策，从节能降碳、经济运行、安全稳定等多角度对系统能量进行最优化管理。</w:t>
      </w:r>
    </w:p>
    <w:p/>
    <w:p>
      <w:r>
        <w:drawing>
          <wp:inline distT="0" distB="0" distL="0" distR="0">
            <wp:extent cx="4483100" cy="2288540"/>
            <wp:effectExtent l="0" t="0" r="0" b="0"/>
            <wp:docPr id="1001720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0026" name="图片 1"/>
                    <pic:cNvPicPr>
                      <a:picLocks noChangeAspect="1"/>
                    </pic:cNvPicPr>
                  </pic:nvPicPr>
                  <pic:blipFill>
                    <a:blip r:embed="rId22"/>
                    <a:srcRect l="2528" t="5488"/>
                    <a:stretch>
                      <a:fillRect/>
                    </a:stretch>
                  </pic:blipFill>
                  <pic:spPr>
                    <a:xfrm>
                      <a:off x="0" y="0"/>
                      <a:ext cx="4489588" cy="2291930"/>
                    </a:xfrm>
                    <a:prstGeom prst="rect">
                      <a:avLst/>
                    </a:prstGeom>
                    <a:ln>
                      <a:noFill/>
                    </a:ln>
                  </pic:spPr>
                </pic:pic>
              </a:graphicData>
            </a:graphic>
          </wp:inline>
        </w:drawing>
      </w:r>
    </w:p>
    <w:p>
      <w:pPr>
        <w:jc w:val="center"/>
        <w:rPr>
          <w:sz w:val="21"/>
          <w:szCs w:val="20"/>
        </w:rPr>
      </w:pPr>
      <w:r>
        <w:rPr>
          <w:rFonts w:hint="eastAsia"/>
          <w:sz w:val="21"/>
          <w:szCs w:val="20"/>
        </w:rPr>
        <w:t>图6</w:t>
      </w:r>
      <w:r>
        <w:rPr>
          <w:sz w:val="21"/>
          <w:szCs w:val="20"/>
        </w:rPr>
        <w:t xml:space="preserve">.2 </w:t>
      </w:r>
      <w:r>
        <w:rPr>
          <w:rFonts w:hint="eastAsia"/>
          <w:sz w:val="21"/>
          <w:szCs w:val="20"/>
        </w:rPr>
        <w:t>综合能源服务模式</w:t>
      </w:r>
    </w:p>
    <w:p>
      <w:pPr>
        <w:ind w:firstLine="420"/>
      </w:pPr>
      <w:r>
        <w:rPr>
          <w:rFonts w:hint="eastAsia"/>
        </w:rPr>
        <w:t>这里的</w:t>
      </w:r>
      <w:r>
        <w:t>综合能源服务是以用户为核心的新型能源服务模式，通过能源技术、数智化、服务创新深度融合，为用户提供多样化、一站式的新能源解决方案，</w:t>
      </w:r>
      <w:r>
        <w:rPr>
          <w:rFonts w:hint="eastAsia"/>
        </w:rPr>
        <w:t>利用E</w:t>
      </w:r>
      <w:r>
        <w:t>-G</w:t>
      </w:r>
      <w:r>
        <w:rPr>
          <w:rFonts w:hint="eastAsia"/>
        </w:rPr>
        <w:t>l</w:t>
      </w:r>
      <w:r>
        <w:t>ass</w:t>
      </w:r>
      <w:r>
        <w:rPr>
          <w:rFonts w:hint="eastAsia"/>
        </w:rPr>
        <w:t>系统作为</w:t>
      </w:r>
      <w:r>
        <w:t>能源供给</w:t>
      </w:r>
      <w:r>
        <w:rPr>
          <w:rFonts w:hint="eastAsia"/>
        </w:rPr>
        <w:t>，物联网技术提供</w:t>
      </w:r>
      <w:r>
        <w:t>智慧能源管理、能源辅助服务等。改变过往以电网为中心的产业结构，重塑了能源产业链参与者的上下游关系，推动了需求端用户从“消费者”向“产消者”转变，同时也促进</w:t>
      </w:r>
      <w:r>
        <w:rPr>
          <w:rFonts w:hint="eastAsia"/>
        </w:rPr>
        <w:t>城市能源供给端</w:t>
      </w:r>
      <w:r>
        <w:t>与其他领域的融合发展，与交通等重点用能领域的深度协作，形成全新的产业生态</w:t>
      </w:r>
      <w:r>
        <w:rPr>
          <w:rFonts w:hint="eastAsia"/>
        </w:rPr>
        <w:t>。</w:t>
      </w:r>
    </w:p>
    <w:p>
      <w:pPr>
        <w:ind w:firstLine="420"/>
      </w:pPr>
      <w:r>
        <w:rPr>
          <w:rFonts w:hint="eastAsia"/>
        </w:rPr>
        <w:t>M</w:t>
      </w:r>
      <w:r>
        <w:t>EMS</w:t>
      </w:r>
      <w:r>
        <w:rPr>
          <w:rFonts w:hint="eastAsia"/>
        </w:rPr>
        <w:t>传感器除了可以监测外界环境变化以及E</w:t>
      </w:r>
      <w:r>
        <w:t>-G</w:t>
      </w:r>
      <w:r>
        <w:rPr>
          <w:rFonts w:hint="eastAsia"/>
        </w:rPr>
        <w:t>lass的工作状态外，还可以和智能家居平台形成联动，搭载更多的传感器以及适宜的控制电路，助力建筑的智能化和物联互通。</w:t>
      </w:r>
    </w:p>
    <w:p>
      <w:pPr>
        <w:pStyle w:val="3"/>
      </w:pPr>
      <w:bookmarkStart w:id="36" w:name="_Toc137328543"/>
      <w:r>
        <w:rPr>
          <w:rFonts w:hint="eastAsia"/>
        </w:rPr>
        <w:t>6</w:t>
      </w:r>
      <w:r>
        <w:t>.3</w:t>
      </w:r>
      <w:r>
        <w:rPr>
          <w:rFonts w:hint="eastAsia"/>
        </w:rPr>
        <w:t>重塑布局</w:t>
      </w:r>
      <w:bookmarkEnd w:id="36"/>
    </w:p>
    <w:p>
      <w:pPr>
        <w:ind w:firstLine="420"/>
      </w:pPr>
      <w:r>
        <w:t>中国的零碳之路，需要的不单单是建筑层面的逐步脱碳，更是区 域零碳化运营与依托减碳理念实现全城焕新</w:t>
      </w:r>
      <w:r>
        <w:rPr>
          <w:rFonts w:hint="eastAsia"/>
        </w:rPr>
        <w:t>。</w:t>
      </w:r>
    </w:p>
    <w:p>
      <w:pPr>
        <w:ind w:firstLine="420"/>
      </w:pPr>
      <w:r>
        <w:rPr>
          <w:rFonts w:hint="eastAsia"/>
        </w:rPr>
        <w:t>究竟是什么影响了城市的布局呢？古代社会，处于农业发展的考虑，城市的建设往往是依水而建，依水而兴。近代社会城市的建设和布局往往出于交通运输的考虑，依路而建。</w:t>
      </w:r>
    </w:p>
    <w:p>
      <w:pPr>
        <w:ind w:firstLine="420"/>
      </w:pPr>
      <w:r>
        <w:rPr>
          <w:rFonts w:hint="eastAsia"/>
        </w:rPr>
        <w:t>在现代，能源对城市的重要性愈发显著。</w:t>
      </w:r>
      <w:r>
        <w:t>碳排放特征和能源使用效率的限制</w:t>
      </w:r>
      <w:r>
        <w:rPr>
          <w:rFonts w:hint="eastAsia"/>
        </w:rPr>
        <w:t>已经开始</w:t>
      </w:r>
      <w:r>
        <w:t>全方位影响到城市空间结构、交通模式、土地使用模式和效率、政策取向、乃至生活方式和文化特征。</w:t>
      </w:r>
    </w:p>
    <w:p>
      <w:pPr>
        <w:ind w:firstLine="420"/>
      </w:pPr>
      <w:r>
        <w:rPr>
          <w:rFonts w:hint="eastAsia"/>
        </w:rPr>
        <w:t>米兰出于</w:t>
      </w:r>
      <w:r>
        <w:t>零碳化更新战略</w:t>
      </w:r>
      <w:r>
        <w:rPr>
          <w:rFonts w:hint="eastAsia"/>
        </w:rPr>
        <w:t>的考量，已经开始实施</w:t>
      </w:r>
      <w:r>
        <w:t>，旨在于城市街区规划和改造的不同场景中多维运用Nbs(Nature-based solutions)措施，效拟森林所提供的碳汇功效</w:t>
      </w:r>
      <w:r>
        <w:rPr>
          <w:rFonts w:hint="eastAsia"/>
        </w:rPr>
        <w:t>的</w:t>
      </w:r>
      <w:r>
        <w:t>“垂直森林”</w:t>
      </w:r>
      <w:r>
        <w:rPr>
          <w:rFonts w:hint="eastAsia"/>
        </w:rPr>
        <w:t>项目方案。</w:t>
      </w:r>
    </w:p>
    <w:p>
      <w:pPr>
        <w:ind w:firstLine="420"/>
        <w:rPr>
          <w:rFonts w:hint="eastAsia"/>
        </w:rPr>
      </w:pPr>
      <w:r>
        <w:rPr>
          <w:rFonts w:hint="eastAsia"/>
        </w:rPr>
        <w:t>未来，随着零碳理念的深入实践，其所影响的范围将</w:t>
      </w:r>
      <w:r>
        <w:t>不单单是建筑层面的逐步脱碳，更是区域零碳化运营与依托减碳理念实现全城焕新</w:t>
      </w:r>
      <w:r>
        <w:rPr>
          <w:rFonts w:hint="eastAsia"/>
        </w:rPr>
        <w:t>。</w:t>
      </w:r>
    </w:p>
    <w:p>
      <w:pPr>
        <w:ind w:firstLine="420"/>
        <w:jc w:val="center"/>
      </w:pPr>
      <w:r>
        <w:drawing>
          <wp:inline distT="0" distB="0" distL="0" distR="0">
            <wp:extent cx="3133725" cy="2581275"/>
            <wp:effectExtent l="0" t="0" r="9525" b="9525"/>
            <wp:docPr id="954299249" name="图片 95429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9249" name="图片 954299249"/>
                    <pic:cNvPicPr>
                      <a:picLocks noChangeAspect="1"/>
                    </pic:cNvPicPr>
                  </pic:nvPicPr>
                  <pic:blipFill>
                    <a:blip r:embed="rId23"/>
                    <a:stretch>
                      <a:fillRect/>
                    </a:stretch>
                  </pic:blipFill>
                  <pic:spPr>
                    <a:xfrm>
                      <a:off x="0" y="0"/>
                      <a:ext cx="3133725" cy="2581275"/>
                    </a:xfrm>
                    <a:prstGeom prst="rect">
                      <a:avLst/>
                    </a:prstGeom>
                  </pic:spPr>
                </pic:pic>
              </a:graphicData>
            </a:graphic>
          </wp:inline>
        </w:drawing>
      </w:r>
    </w:p>
    <w:p>
      <w:pPr>
        <w:ind w:firstLine="420"/>
        <w:jc w:val="center"/>
      </w:pPr>
      <w:r>
        <w:rPr>
          <w:rFonts w:hint="eastAsia"/>
        </w:rPr>
        <w:t>图6</w:t>
      </w:r>
      <w:r>
        <w:t>.3</w:t>
      </w:r>
      <w:r>
        <w:rPr>
          <w:rFonts w:hint="eastAsia"/>
        </w:rPr>
        <w:t>米兰</w:t>
      </w:r>
      <w:r>
        <w:t>“垂直森林”项目</w:t>
      </w:r>
    </w:p>
    <w:p>
      <w:pPr>
        <w:ind w:firstLine="420"/>
      </w:pPr>
      <w:r>
        <w:t>建筑是区域零碳运营的单体细胞</w:t>
      </w:r>
      <w:r>
        <w:rPr>
          <w:rFonts w:hint="eastAsia"/>
        </w:rPr>
        <w:t>，不仅需要考虑单个建筑的节能减排，E</w:t>
      </w:r>
      <w:r>
        <w:t>-G</w:t>
      </w:r>
      <w:r>
        <w:rPr>
          <w:rFonts w:hint="eastAsia"/>
        </w:rPr>
        <w:t>la</w:t>
      </w:r>
      <w:r>
        <w:t>s</w:t>
      </w:r>
      <w:r>
        <w:rPr>
          <w:rFonts w:hint="eastAsia"/>
        </w:rPr>
        <w:t>s系统更希望实现城市在以基于光能利用效率最大化等为代表的零碳思维引领下，</w:t>
      </w:r>
      <w:r>
        <w:t>、激活更多元复合的人性化、智慧化、绿色化服务场景。形成以零碳应用为工具的城市空间洗牌</w:t>
      </w:r>
      <w:r>
        <w:rPr>
          <w:rFonts w:hint="eastAsia"/>
        </w:rPr>
        <w:t>，例如，更多的站在建筑不存在光照互相遮挡，有助于光能产物转运收集等角度思考城市建筑布局，由于E</w:t>
      </w:r>
      <w:r>
        <w:t>-G</w:t>
      </w:r>
      <w:r>
        <w:rPr>
          <w:rFonts w:hint="eastAsia"/>
        </w:rPr>
        <w:t>l</w:t>
      </w:r>
      <w:r>
        <w:t>ass</w:t>
      </w:r>
      <w:r>
        <w:rPr>
          <w:rFonts w:hint="eastAsia"/>
        </w:rPr>
        <w:t>的存在使得零碳思维城市布局的主导。</w:t>
      </w:r>
    </w:p>
    <w:p>
      <w:pPr>
        <w:pStyle w:val="3"/>
      </w:pPr>
      <w:bookmarkStart w:id="37" w:name="_Toc137328544"/>
      <w:r>
        <w:rPr>
          <w:rFonts w:hint="eastAsia"/>
        </w:rPr>
        <w:t>6</w:t>
      </w:r>
      <w:r>
        <w:t>.3</w:t>
      </w:r>
      <w:r>
        <w:rPr>
          <w:rFonts w:hint="eastAsia"/>
        </w:rPr>
        <w:t>外星探索引领未来</w:t>
      </w:r>
      <w:bookmarkEnd w:id="37"/>
    </w:p>
    <w:p>
      <w:pPr>
        <w:ind w:firstLine="420"/>
      </w:pPr>
      <w:r>
        <w:rPr>
          <w:rFonts w:hint="eastAsia"/>
        </w:rPr>
        <w:t>E</w:t>
      </w:r>
      <w:r>
        <w:t>-Glass</w:t>
      </w:r>
      <w:r>
        <w:rPr>
          <w:rFonts w:hint="eastAsia"/>
        </w:rPr>
        <w:t>项目的起源是NASA的火星移民计划。该计划的第一步便是保证人类在火星上的有机物和水资源需求。为此，人工光合作用从设想走向了现实。通过前期研究，基础理论已经相对完备，目前正经历从实验室走向市场的关键时期。智能化，高效性，低成本，灵活性，广泛性皆是其主要特征。未来E-Glass的应用场景将不再局限，上至航空航天，星际探索，下至高楼大厦，百姓万家皆可通过E-Glass享受一站式的能源与资源智能收集生产系统。</w:t>
      </w:r>
    </w:p>
    <w:p>
      <w:pPr>
        <w:pStyle w:val="3"/>
      </w:pPr>
      <w:bookmarkStart w:id="38" w:name="_Toc137328545"/>
      <w:r>
        <w:rPr>
          <w:rFonts w:hint="eastAsia"/>
        </w:rPr>
        <w:t>6</w:t>
      </w:r>
      <w:r>
        <w:t>.4</w:t>
      </w:r>
      <w:r>
        <w:rPr>
          <w:rFonts w:hint="eastAsia"/>
        </w:rPr>
        <w:t>研发规划</w:t>
      </w:r>
      <w:bookmarkEnd w:id="38"/>
    </w:p>
    <w:p>
      <w:pPr>
        <w:ind w:firstLine="420"/>
      </w:pPr>
      <w:r>
        <w:rPr>
          <w:rFonts w:hint="eastAsia"/>
        </w:rPr>
        <w:t>E</w:t>
      </w:r>
      <w:r>
        <w:t>-G</w:t>
      </w:r>
      <w:r>
        <w:rPr>
          <w:rFonts w:hint="eastAsia"/>
        </w:rPr>
        <w:t>l</w:t>
      </w:r>
      <w:r>
        <w:t>ass</w:t>
      </w:r>
      <w:r>
        <w:rPr>
          <w:rFonts w:hint="eastAsia"/>
        </w:rPr>
        <w:t>课题的合作单位包括</w:t>
      </w:r>
      <w:r>
        <w:t>天津大学合成生物学前沿科学中心</w:t>
      </w:r>
      <w:r>
        <w:rPr>
          <w:rFonts w:hint="eastAsia"/>
        </w:rPr>
        <w:t>和太原理工大学“建筑学院实验中心”。</w:t>
      </w:r>
    </w:p>
    <w:p>
      <w:pPr>
        <w:ind w:firstLine="420"/>
        <w:rPr>
          <w:rFonts w:hint="eastAsia"/>
        </w:rPr>
      </w:pPr>
      <w:r>
        <w:rPr>
          <w:rFonts w:hint="eastAsia"/>
        </w:rPr>
        <w:t>作为教育部此次批复建设的首批6个前沿科学中心之一，天津大学合成生物学前沿科学中心旨在建设成为具有国际“领跑者”地位的创新中心和人才摇篮，抢占生命再造“珠峰”，孕育引领新经济的颠覆性成果，这也是天津首个批准立项建设的前沿科学中心。</w:t>
      </w:r>
      <w:r>
        <w:t> 合成生物学团队聚焦国家重大需求，聚焦世界科技发展前沿，</w:t>
      </w:r>
      <w:r>
        <w:rPr>
          <w:rFonts w:hint="eastAsia"/>
        </w:rPr>
        <w:t>助力E</w:t>
      </w:r>
      <w:r>
        <w:t>-G</w:t>
      </w:r>
      <w:r>
        <w:rPr>
          <w:rFonts w:hint="eastAsia"/>
        </w:rPr>
        <w:t>la</w:t>
      </w:r>
      <w:r>
        <w:t>ss</w:t>
      </w:r>
      <w:r>
        <w:rPr>
          <w:rFonts w:hint="eastAsia"/>
        </w:rPr>
        <w:t>实现人造细胞产业化。</w:t>
      </w:r>
    </w:p>
    <w:p>
      <w:pPr>
        <w:ind w:firstLine="420"/>
        <w:rPr>
          <w:rFonts w:hint="eastAsia"/>
        </w:rPr>
      </w:pPr>
      <w:r>
        <w:rPr>
          <w:rFonts w:hint="eastAsia"/>
        </w:rPr>
        <w:t>太原理工大学“建筑学院实验中心”目前该实验中心在工作环境、设备配置等方面均属于国内较好的建筑学实验中心之一，使用面积为1530 ㎡，建筑学院还设有建筑模型实验室，展陈空间845 平方米，模型制作室137平方米等。本课题研究所需的硬件设备、数据处理软件和图文处理软件均已具备：如多款小型无人机及配套影像设备、大型图纸扫描仪、三维扫描仪、3D 打印机、数控模型材料加工机床、数字全站仪、数码摄像机、便携式数字高清 录音设备、图形工作站、激光测距仪、军用指南针等。学院还建有省级虚拟仿真实验网站：基于实景 融合的传统聚落营建技艺虚拟仿真实验平台。</w:t>
      </w:r>
    </w:p>
    <w:p>
      <w:pPr>
        <w:adjustRightInd w:val="0"/>
        <w:snapToGrid w:val="0"/>
        <w:ind w:right="-14"/>
        <w:jc w:val="center"/>
      </w:pPr>
      <w:r>
        <w:object>
          <v:shape id="_x0000_i1025" o:spt="75" type="#_x0000_t75" style="height:554pt;width:309pt;" o:ole="t" filled="f" o:preferrelative="t" stroked="f" coordsize="21600,21600">
            <v:path/>
            <v:fill on="f" focussize="0,0"/>
            <v:stroke on="f" joinstyle="miter"/>
            <v:imagedata r:id="rId25" o:title=""/>
            <o:lock v:ext="edit" aspectratio="t"/>
            <w10:wrap type="none"/>
            <w10:anchorlock/>
          </v:shape>
          <o:OLEObject Type="Embed" ProgID="Visio.Drawing.11" ShapeID="_x0000_i1025" DrawAspect="Content" ObjectID="_1468075725" r:id="rId24">
            <o:LockedField>false</o:LockedField>
          </o:OLEObject>
        </w:object>
      </w:r>
    </w:p>
    <w:p>
      <w:pPr>
        <w:jc w:val="center"/>
        <w:rPr>
          <w:rFonts w:hint="eastAsia"/>
          <w:sz w:val="22"/>
        </w:rPr>
      </w:pPr>
      <w:r>
        <w:rPr>
          <w:rFonts w:hint="eastAsia"/>
          <w:sz w:val="22"/>
        </w:rPr>
        <w:t>图6</w:t>
      </w:r>
      <w:r>
        <w:rPr>
          <w:sz w:val="22"/>
        </w:rPr>
        <w:t xml:space="preserve">.4 </w:t>
      </w:r>
      <w:r>
        <w:rPr>
          <w:rFonts w:hint="eastAsia"/>
          <w:sz w:val="22"/>
        </w:rPr>
        <w:t>技术路线图</w:t>
      </w:r>
    </w:p>
    <w:p>
      <w:pPr>
        <w:pStyle w:val="2"/>
      </w:pPr>
      <w:bookmarkStart w:id="39" w:name="_Toc137328546"/>
      <w:r>
        <w:rPr>
          <w:rFonts w:hint="eastAsia"/>
        </w:rPr>
        <w:t>第七章 团队介绍</w:t>
      </w:r>
      <w:bookmarkEnd w:id="39"/>
    </w:p>
    <w:p>
      <w:pPr>
        <w:pStyle w:val="3"/>
      </w:pPr>
      <w:bookmarkStart w:id="40" w:name="_Toc137328547"/>
      <w:r>
        <w:rPr>
          <w:rFonts w:hint="eastAsia"/>
        </w:rPr>
        <w:t>7</w:t>
      </w:r>
      <w:r>
        <w:t>.1</w:t>
      </w:r>
      <w:r>
        <w:rPr>
          <w:rFonts w:hint="eastAsia"/>
        </w:rPr>
        <w:t>团队简介</w:t>
      </w:r>
      <w:bookmarkEnd w:id="40"/>
    </w:p>
    <w:p>
      <w:pPr>
        <w:ind w:firstLine="360"/>
      </w:pPr>
      <w:r>
        <w:rPr>
          <w:rFonts w:hint="eastAsia"/>
        </w:rPr>
        <w:t>团队以微电子学院本科生为主体，同时各自还分别擅长合成生物学，软硬件算法等多学科融合领域。该项目的技术核心高度集中在微型制造技术，微机电系统与芯片设计。微电子是整个项目的技术壁垒所在。此外，项目指导老师也有着多学科背景涵盖了微电子，机械工程，生物工程，建筑学等多个领域。其中一位老师作为科技公司副总裁为项目商科方面问题提供援助。团队成员每个人都在自己的领域有着独一无二的学术领导力，同时又互相了解别人的方向，使得该项目作为多学科融合项目得以顺利进行。</w:t>
      </w:r>
    </w:p>
    <w:p>
      <w:pPr>
        <w:ind w:firstLine="360"/>
        <w:rPr>
          <w:b/>
          <w:bCs/>
        </w:rPr>
      </w:pPr>
      <w:r>
        <w:rPr>
          <w:rFonts w:hint="eastAsia"/>
          <w:b/>
          <w:bCs/>
        </w:rPr>
        <w:t>周子昂 团队成员</w:t>
      </w:r>
    </w:p>
    <w:p>
      <w:pPr>
        <w:ind w:firstLine="360"/>
      </w:pPr>
      <w:r>
        <w:rPr>
          <w:rFonts w:hint="eastAsia"/>
        </w:rPr>
        <w:t>天津大学微电子学院本科生，前就读于化工学院生物工程专业，具备交叉学科背景，对合成生物学和Bi</w:t>
      </w:r>
      <w:r>
        <w:t>o-MEMS</w:t>
      </w:r>
      <w:r>
        <w:rPr>
          <w:rFonts w:hint="eastAsia"/>
        </w:rPr>
        <w:t>领域都有较深入的了解。能够使用C</w:t>
      </w:r>
      <w:r>
        <w:t>OMSOL</w:t>
      </w:r>
      <w:r>
        <w:rPr>
          <w:rFonts w:hint="eastAsia"/>
        </w:rPr>
        <w:t>和M</w:t>
      </w:r>
      <w:r>
        <w:t>ATLAB</w:t>
      </w:r>
      <w:r>
        <w:rPr>
          <w:rFonts w:hint="eastAsia"/>
        </w:rPr>
        <w:t>进行仿真计算，曾参加过全国大学生数学建模大赛并取得省一等奖。熟练掌握英文文献阅读和写作能力。</w:t>
      </w:r>
    </w:p>
    <w:p>
      <w:pPr>
        <w:ind w:firstLine="360"/>
        <w:rPr>
          <w:b/>
          <w:bCs/>
        </w:rPr>
      </w:pPr>
      <w:r>
        <w:rPr>
          <w:rFonts w:hint="eastAsia"/>
          <w:b/>
          <w:bCs/>
        </w:rPr>
        <w:t>陈家铭 团队成员</w:t>
      </w:r>
    </w:p>
    <w:p>
      <w:pPr>
        <w:ind w:firstLine="360"/>
      </w:pPr>
      <w:r>
        <w:rPr>
          <w:rFonts w:hint="eastAsia"/>
        </w:rPr>
        <w:t>天津大学微电子学院本科生，专业基础知识扎实，吃苦耐劳，热爱钻研，敢于创新。熟练使用python，matlab等编程语言，有在实验室进行图像分析和数据处理的经历，熟练掌握人工神经网络相关技能。此外在文献检索与整理分析方面经验丰富。</w:t>
      </w:r>
    </w:p>
    <w:p>
      <w:pPr>
        <w:ind w:firstLine="360"/>
        <w:rPr>
          <w:b/>
          <w:bCs/>
        </w:rPr>
      </w:pPr>
      <w:r>
        <w:rPr>
          <w:rFonts w:hint="eastAsia"/>
          <w:b/>
          <w:bCs/>
        </w:rPr>
        <w:t>李建蒴 团队成员</w:t>
      </w:r>
    </w:p>
    <w:p>
      <w:pPr>
        <w:ind w:firstLine="360"/>
      </w:pPr>
      <w:r>
        <w:rPr>
          <w:rFonts w:hint="eastAsia"/>
        </w:rPr>
        <w:t>天津大学微电子学院本科生，专业基础牢固，喜欢钻研，有创新精神，具备硬件电路设计与实验经验，英语基础扎实水平较高，对人体神经网络，光合作用以及绿色生物工程有较为深入的了解。并且拥有熟练查阅文献检索分析的能力。</w:t>
      </w:r>
    </w:p>
    <w:p>
      <w:pPr>
        <w:ind w:firstLine="360"/>
        <w:rPr>
          <w:b/>
          <w:bCs/>
        </w:rPr>
      </w:pPr>
      <w:r>
        <w:rPr>
          <w:rFonts w:hint="eastAsia"/>
          <w:b/>
          <w:bCs/>
        </w:rPr>
        <w:t>胡彦博 团队成员</w:t>
      </w:r>
    </w:p>
    <w:p>
      <w:pPr>
        <w:ind w:firstLine="360"/>
      </w:pPr>
      <w:r>
        <w:rPr>
          <w:rFonts w:hint="eastAsia"/>
        </w:rPr>
        <w:t>天津大学微电子学院本科生，有良好的编程基础，英语水平较高，且具备硬件电路设计与嵌入式开发项目经验。</w:t>
      </w:r>
    </w:p>
    <w:p>
      <w:pPr>
        <w:pStyle w:val="3"/>
      </w:pPr>
      <w:bookmarkStart w:id="41" w:name="_Toc137328548"/>
      <w:r>
        <w:rPr>
          <w:rFonts w:hint="eastAsia"/>
        </w:rPr>
        <w:t>7</w:t>
      </w:r>
      <w:r>
        <w:t>.2</w:t>
      </w:r>
      <w:r>
        <w:rPr>
          <w:rFonts w:hint="eastAsia"/>
        </w:rPr>
        <w:t>专家顾问团</w:t>
      </w:r>
      <w:bookmarkEnd w:id="41"/>
    </w:p>
    <w:p>
      <w:pPr>
        <w:rPr>
          <w:b/>
          <w:bCs/>
        </w:rPr>
      </w:pPr>
      <w:r>
        <w:tab/>
      </w:r>
      <w:r>
        <w:rPr>
          <w:rFonts w:hint="eastAsia"/>
          <w:b/>
          <w:bCs/>
        </w:rPr>
        <w:t>任翔</w:t>
      </w:r>
    </w:p>
    <w:p>
      <w:r>
        <w:rPr>
          <w:b/>
          <w:bCs/>
        </w:rPr>
        <w:tab/>
      </w:r>
      <w:r>
        <w:rPr>
          <w:rFonts w:hint="eastAsia"/>
        </w:rPr>
        <w:t>天津大学微电子学院副教授，美国</w:t>
      </w:r>
      <w:r>
        <w:t>约翰霍普金斯大学电气与计算机工程硕士，美国德雷克塞尔大学机械工程与力学博士</w:t>
      </w:r>
      <w:r>
        <w:rPr>
          <w:rFonts w:hint="eastAsia"/>
        </w:rPr>
        <w:t>，博士期间人工光合平台相关研究曾获德雷</w:t>
      </w:r>
      <w:r>
        <w:t>克塞尔大学Outstanding Promise Award</w:t>
      </w:r>
      <w:r>
        <w:rPr>
          <w:rFonts w:hint="eastAsia"/>
        </w:rPr>
        <w:t>（获该奖项的第三位华人）。曾参与N</w:t>
      </w:r>
      <w:r>
        <w:t>ASA</w:t>
      </w:r>
      <w:r>
        <w:rPr>
          <w:rFonts w:hint="eastAsia"/>
        </w:rPr>
        <w:t>火星计划研发，相关科研成果在该领域处于领先地位。</w:t>
      </w:r>
    </w:p>
    <w:p>
      <w:pPr>
        <w:ind w:firstLine="420"/>
        <w:rPr>
          <w:b/>
          <w:bCs/>
        </w:rPr>
      </w:pPr>
      <w:r>
        <w:rPr>
          <w:rFonts w:hint="eastAsia"/>
          <w:b/>
          <w:bCs/>
        </w:rPr>
        <w:t>于淼</w:t>
      </w:r>
    </w:p>
    <w:p>
      <w:pPr>
        <w:ind w:firstLine="420"/>
      </w:pPr>
      <w:r>
        <w:t>赛德迪康（杭州）医疗科技有限公司</w:t>
      </w:r>
      <w:r>
        <w:rPr>
          <w:rFonts w:hint="eastAsia"/>
        </w:rPr>
        <w:t>研发副总裁，为项目的开展</w:t>
      </w:r>
      <w:r>
        <w:t>提供市场影响、公司管理</w:t>
      </w:r>
      <w:r>
        <w:rPr>
          <w:rFonts w:hint="eastAsia"/>
        </w:rPr>
        <w:t>以及财务方面的</w:t>
      </w:r>
      <w:r>
        <w:t>指导</w:t>
      </w:r>
      <w:r>
        <w:rPr>
          <w:rFonts w:hint="eastAsia"/>
        </w:rPr>
        <w:t>。</w:t>
      </w:r>
    </w:p>
    <w:p>
      <w:pPr>
        <w:ind w:firstLine="420"/>
      </w:pPr>
    </w:p>
    <w:p>
      <w:pPr>
        <w:ind w:firstLine="420"/>
        <w:rPr>
          <w:b/>
          <w:bCs/>
        </w:rPr>
      </w:pPr>
      <w:r>
        <w:rPr>
          <w:rFonts w:hint="eastAsia"/>
          <w:b/>
          <w:bCs/>
        </w:rPr>
        <w:t>李岚</w:t>
      </w:r>
    </w:p>
    <w:p>
      <w:pPr>
        <w:ind w:firstLine="420"/>
      </w:pPr>
      <w:r>
        <w:rPr>
          <w:rFonts w:hint="eastAsia"/>
        </w:rPr>
        <w:t>太原理工大学建筑学院副教授，为E</w:t>
      </w:r>
      <w:r>
        <w:t>-G</w:t>
      </w:r>
      <w:r>
        <w:rPr>
          <w:rFonts w:hint="eastAsia"/>
        </w:rPr>
        <w:t>l</w:t>
      </w:r>
      <w:r>
        <w:t>ass</w:t>
      </w:r>
      <w:r>
        <w:rPr>
          <w:rFonts w:hint="eastAsia"/>
        </w:rPr>
        <w:t>系统的建筑架构以及微流控系统的布局布线提供专业指导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icrosoftYaHei">
    <w:altName w:val="Cambria"/>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NjZkZGFhYjNkMGM1YzlmZTMwMTYzNzQxNWMwZDUifQ=="/>
  </w:docVars>
  <w:rsids>
    <w:rsidRoot w:val="00102052"/>
    <w:rsid w:val="00015049"/>
    <w:rsid w:val="000518A7"/>
    <w:rsid w:val="000866AE"/>
    <w:rsid w:val="000C3A55"/>
    <w:rsid w:val="000F268B"/>
    <w:rsid w:val="00102052"/>
    <w:rsid w:val="00125E1F"/>
    <w:rsid w:val="00152DD7"/>
    <w:rsid w:val="00172066"/>
    <w:rsid w:val="001841BA"/>
    <w:rsid w:val="001B3F8A"/>
    <w:rsid w:val="001D79B9"/>
    <w:rsid w:val="00204B30"/>
    <w:rsid w:val="0023328A"/>
    <w:rsid w:val="0025396F"/>
    <w:rsid w:val="002606E1"/>
    <w:rsid w:val="002723D5"/>
    <w:rsid w:val="002B55DB"/>
    <w:rsid w:val="00314B70"/>
    <w:rsid w:val="00355B04"/>
    <w:rsid w:val="003579AF"/>
    <w:rsid w:val="0037538B"/>
    <w:rsid w:val="003A3909"/>
    <w:rsid w:val="003A3A01"/>
    <w:rsid w:val="0040165E"/>
    <w:rsid w:val="00402061"/>
    <w:rsid w:val="00426DE8"/>
    <w:rsid w:val="004777C5"/>
    <w:rsid w:val="00477C93"/>
    <w:rsid w:val="0049152B"/>
    <w:rsid w:val="004A48FF"/>
    <w:rsid w:val="004C0703"/>
    <w:rsid w:val="004F4F41"/>
    <w:rsid w:val="00527053"/>
    <w:rsid w:val="00540DE5"/>
    <w:rsid w:val="00541566"/>
    <w:rsid w:val="00547D51"/>
    <w:rsid w:val="00547E0C"/>
    <w:rsid w:val="0059542C"/>
    <w:rsid w:val="005A2519"/>
    <w:rsid w:val="005F4EAF"/>
    <w:rsid w:val="005F529C"/>
    <w:rsid w:val="00636362"/>
    <w:rsid w:val="006958E2"/>
    <w:rsid w:val="006B5A38"/>
    <w:rsid w:val="006C7397"/>
    <w:rsid w:val="00707855"/>
    <w:rsid w:val="007678B7"/>
    <w:rsid w:val="00794B3B"/>
    <w:rsid w:val="007F4111"/>
    <w:rsid w:val="00826F1A"/>
    <w:rsid w:val="00873A50"/>
    <w:rsid w:val="008774DD"/>
    <w:rsid w:val="008944CC"/>
    <w:rsid w:val="008F1907"/>
    <w:rsid w:val="009F2D4D"/>
    <w:rsid w:val="00A3702A"/>
    <w:rsid w:val="00A370F6"/>
    <w:rsid w:val="00A40D6A"/>
    <w:rsid w:val="00A811C2"/>
    <w:rsid w:val="00AB4944"/>
    <w:rsid w:val="00AE26D7"/>
    <w:rsid w:val="00AF4690"/>
    <w:rsid w:val="00B01467"/>
    <w:rsid w:val="00B40084"/>
    <w:rsid w:val="00B5614A"/>
    <w:rsid w:val="00B75F84"/>
    <w:rsid w:val="00BD2B72"/>
    <w:rsid w:val="00C00956"/>
    <w:rsid w:val="00C549A3"/>
    <w:rsid w:val="00CA3A5B"/>
    <w:rsid w:val="00CD09DF"/>
    <w:rsid w:val="00CE15FD"/>
    <w:rsid w:val="00CE27D2"/>
    <w:rsid w:val="00CE3ECD"/>
    <w:rsid w:val="00D37396"/>
    <w:rsid w:val="00D475C2"/>
    <w:rsid w:val="00D512D3"/>
    <w:rsid w:val="00D51789"/>
    <w:rsid w:val="00D54801"/>
    <w:rsid w:val="00D57C4D"/>
    <w:rsid w:val="00D9731F"/>
    <w:rsid w:val="00DC4E74"/>
    <w:rsid w:val="00DC73BF"/>
    <w:rsid w:val="00E34529"/>
    <w:rsid w:val="00E36C43"/>
    <w:rsid w:val="00E42AD8"/>
    <w:rsid w:val="00E5102D"/>
    <w:rsid w:val="00E51DAB"/>
    <w:rsid w:val="00EA769C"/>
    <w:rsid w:val="00EB23E1"/>
    <w:rsid w:val="00EC4749"/>
    <w:rsid w:val="00ED062A"/>
    <w:rsid w:val="00ED52EF"/>
    <w:rsid w:val="00EE2712"/>
    <w:rsid w:val="00F10BFD"/>
    <w:rsid w:val="00F13A92"/>
    <w:rsid w:val="00F44086"/>
    <w:rsid w:val="00F67A25"/>
    <w:rsid w:val="00F86070"/>
    <w:rsid w:val="00FE51F5"/>
    <w:rsid w:val="7E161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1"/>
    <w:qFormat/>
    <w:uiPriority w:val="9"/>
    <w:pPr>
      <w:keepNext/>
      <w:keepLines/>
      <w:outlineLvl w:val="0"/>
    </w:pPr>
    <w:rPr>
      <w:rFonts w:eastAsia="黑体"/>
      <w:bCs/>
      <w:kern w:val="44"/>
      <w:sz w:val="30"/>
      <w:szCs w:val="44"/>
    </w:rPr>
  </w:style>
  <w:style w:type="paragraph" w:styleId="3">
    <w:name w:val="heading 2"/>
    <w:basedOn w:val="1"/>
    <w:next w:val="1"/>
    <w:link w:val="15"/>
    <w:unhideWhenUsed/>
    <w:qFormat/>
    <w:uiPriority w:val="9"/>
    <w:pPr>
      <w:keepNext/>
      <w:keepLines/>
      <w:outlineLvl w:val="1"/>
    </w:pPr>
    <w:rPr>
      <w:rFonts w:eastAsia="黑体" w:cstheme="majorBidi"/>
      <w:bCs/>
      <w:sz w:val="28"/>
      <w:szCs w:val="32"/>
    </w:rPr>
  </w:style>
  <w:style w:type="paragraph" w:styleId="4">
    <w:name w:val="heading 3"/>
    <w:basedOn w:val="1"/>
    <w:next w:val="1"/>
    <w:link w:val="16"/>
    <w:unhideWhenUsed/>
    <w:qFormat/>
    <w:uiPriority w:val="9"/>
    <w:pPr>
      <w:keepNext/>
      <w:keepLines/>
      <w:outlineLvl w:val="2"/>
    </w:pPr>
    <w:rPr>
      <w:rFonts w:eastAsia="黑体"/>
      <w:bCs/>
      <w:szCs w:val="32"/>
    </w:rPr>
  </w:style>
  <w:style w:type="paragraph" w:styleId="5">
    <w:name w:val="heading 4"/>
    <w:basedOn w:val="1"/>
    <w:next w:val="1"/>
    <w:link w:val="17"/>
    <w:unhideWhenUsed/>
    <w:qFormat/>
    <w:uiPriority w:val="9"/>
    <w:pPr>
      <w:keepNext/>
      <w:keepLines/>
      <w:spacing w:before="280" w:after="290" w:line="376" w:lineRule="auto"/>
      <w:outlineLvl w:val="3"/>
    </w:pPr>
    <w:rPr>
      <w:rFonts w:cstheme="majorBidi"/>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uiPriority w:val="39"/>
    <w:pPr>
      <w:ind w:left="840" w:leftChars="400"/>
    </w:p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tabs>
        <w:tab w:val="center" w:pos="4153"/>
        <w:tab w:val="right" w:pos="8306"/>
      </w:tabs>
      <w:snapToGrid w:val="0"/>
      <w:jc w:val="center"/>
    </w:pPr>
    <w:rPr>
      <w:sz w:val="18"/>
      <w:szCs w:val="18"/>
    </w:rPr>
  </w:style>
  <w:style w:type="paragraph" w:styleId="9">
    <w:name w:val="toc 1"/>
    <w:basedOn w:val="1"/>
    <w:next w:val="1"/>
    <w:unhideWhenUsed/>
    <w:uiPriority w:val="39"/>
  </w:style>
  <w:style w:type="paragraph" w:styleId="10">
    <w:name w:val="toc 2"/>
    <w:basedOn w:val="1"/>
    <w:next w:val="1"/>
    <w:unhideWhenUsed/>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000FF"/>
      <w:u w:val="single"/>
    </w:rPr>
  </w:style>
  <w:style w:type="character" w:customStyle="1" w:styleId="15">
    <w:name w:val="标题 2 字符"/>
    <w:basedOn w:val="12"/>
    <w:link w:val="3"/>
    <w:uiPriority w:val="9"/>
    <w:rPr>
      <w:rFonts w:ascii="Times New Roman" w:hAnsi="Times New Roman" w:eastAsia="黑体" w:cstheme="majorBidi"/>
      <w:bCs/>
      <w:sz w:val="28"/>
      <w:szCs w:val="32"/>
    </w:rPr>
  </w:style>
  <w:style w:type="character" w:customStyle="1" w:styleId="16">
    <w:name w:val="标题 3 字符"/>
    <w:basedOn w:val="12"/>
    <w:link w:val="4"/>
    <w:uiPriority w:val="9"/>
    <w:rPr>
      <w:rFonts w:ascii="Times New Roman" w:hAnsi="Times New Roman" w:eastAsia="黑体"/>
      <w:bCs/>
      <w:sz w:val="24"/>
      <w:szCs w:val="32"/>
    </w:rPr>
  </w:style>
  <w:style w:type="character" w:customStyle="1" w:styleId="17">
    <w:name w:val="标题 4 字符"/>
    <w:basedOn w:val="12"/>
    <w:link w:val="5"/>
    <w:qFormat/>
    <w:uiPriority w:val="9"/>
    <w:rPr>
      <w:rFonts w:ascii="Times New Roman" w:hAnsi="Times New Roman" w:eastAsia="宋体" w:cstheme="majorBidi"/>
      <w:b/>
      <w:bCs/>
      <w:sz w:val="28"/>
      <w:szCs w:val="28"/>
    </w:rPr>
  </w:style>
  <w:style w:type="character" w:customStyle="1" w:styleId="18">
    <w:name w:val="页眉 字符"/>
    <w:basedOn w:val="12"/>
    <w:link w:val="8"/>
    <w:qFormat/>
    <w:uiPriority w:val="99"/>
    <w:rPr>
      <w:rFonts w:ascii="Times New Roman" w:hAnsi="Times New Roman" w:eastAsia="宋体"/>
      <w:sz w:val="18"/>
      <w:szCs w:val="18"/>
    </w:rPr>
  </w:style>
  <w:style w:type="character" w:customStyle="1" w:styleId="19">
    <w:name w:val="页脚 字符"/>
    <w:basedOn w:val="12"/>
    <w:link w:val="7"/>
    <w:qFormat/>
    <w:uiPriority w:val="99"/>
    <w:rPr>
      <w:rFonts w:ascii="Times New Roman" w:hAnsi="Times New Roman" w:eastAsia="宋体"/>
      <w:sz w:val="18"/>
      <w:szCs w:val="18"/>
    </w:rPr>
  </w:style>
  <w:style w:type="paragraph" w:styleId="20">
    <w:name w:val="List Paragraph"/>
    <w:basedOn w:val="1"/>
    <w:qFormat/>
    <w:uiPriority w:val="34"/>
    <w:pPr>
      <w:ind w:firstLine="420" w:firstLineChars="200"/>
    </w:pPr>
  </w:style>
  <w:style w:type="character" w:customStyle="1" w:styleId="21">
    <w:name w:val="标题 1 字符"/>
    <w:basedOn w:val="12"/>
    <w:link w:val="2"/>
    <w:qFormat/>
    <w:uiPriority w:val="9"/>
    <w:rPr>
      <w:rFonts w:ascii="Times New Roman" w:hAnsi="Times New Roman" w:eastAsia="黑体"/>
      <w:bCs/>
      <w:kern w:val="44"/>
      <w:sz w:val="30"/>
      <w:szCs w:val="44"/>
    </w:rPr>
  </w:style>
  <w:style w:type="paragraph" w:customStyle="1" w:styleId="22">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emf"/><Relationship Id="rId24" Type="http://schemas.openxmlformats.org/officeDocument/2006/relationships/oleObject" Target="embeddings/Microsoft_Visio_2003-2010___1.vsd"/><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68C39-DF24-43F9-91A7-45AE135526EB}">
  <ds:schemaRefs/>
</ds:datastoreItem>
</file>

<file path=docProps/app.xml><?xml version="1.0" encoding="utf-8"?>
<Properties xmlns="http://schemas.openxmlformats.org/officeDocument/2006/extended-properties" xmlns:vt="http://schemas.openxmlformats.org/officeDocument/2006/docPropsVTypes">
  <Template>Normal</Template>
  <Pages>21</Pages>
  <Words>13046</Words>
  <Characters>14238</Characters>
  <Lines>123</Lines>
  <Paragraphs>34</Paragraphs>
  <TotalTime>0</TotalTime>
  <ScaleCrop>false</ScaleCrop>
  <LinksUpToDate>false</LinksUpToDate>
  <CharactersWithSpaces>14718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2023-06-10T14:28:00Z</dcterms:created>
  <dc:creator>子昂 周</dc:creator>
  <cp:lastModifiedBy>彭思宇</cp:lastModifiedBy>
  <dcterms:modified xsi:type="dcterms:W3CDTF">2023-06-17T14:57:28Z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E1CE1D254D3645CAA6EFC5FD90D27429_12</vt:lpwstr>
  </property>
</Properties>
</file>