
<file path=[Content_Types].xml><?xml version="1.0" encoding="utf-8"?>
<Types xmlns="http://schemas.openxmlformats.org/package/2006/content-types">
  <Default Extension="xml" ContentType="application/xml"/>
  <Default Extension="wmf" ContentType="image/x-wmf"/>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48"/>
        <w:jc w:val="center"/>
        <w:rPr>
          <w:rFonts w:eastAsia="黑体"/>
          <w:b/>
          <w:sz w:val="44"/>
        </w:rPr>
      </w:pPr>
      <w:r>
        <w:rPr>
          <w:rFonts w:eastAsia="黑体"/>
          <w:b/>
          <w:sz w:val="44"/>
        </w:rPr>
        <w:drawing>
          <wp:inline distT="0" distB="0" distL="0" distR="0">
            <wp:extent cx="2164715" cy="1045845"/>
            <wp:effectExtent l="0" t="0" r="6985"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183581" cy="1055215"/>
                    </a:xfrm>
                    <a:prstGeom prst="rect">
                      <a:avLst/>
                    </a:prstGeom>
                    <a:noFill/>
                    <a:ln>
                      <a:noFill/>
                    </a:ln>
                  </pic:spPr>
                </pic:pic>
              </a:graphicData>
            </a:graphic>
          </wp:inline>
        </w:drawing>
      </w:r>
    </w:p>
    <w:p>
      <w:pPr>
        <w:spacing w:before="48"/>
        <w:jc w:val="center"/>
        <w:rPr>
          <w:rFonts w:eastAsia="黑体"/>
          <w:b/>
          <w:sz w:val="44"/>
        </w:rPr>
      </w:pPr>
      <w:r>
        <w:rPr>
          <w:rFonts w:hint="eastAsia" w:eastAsia="黑体"/>
          <w:b/>
          <w:sz w:val="44"/>
        </w:rPr>
        <w:t>互联网+商业计划书</w:t>
      </w:r>
    </w:p>
    <w:p>
      <w:pPr>
        <w:spacing w:before="48"/>
        <w:ind w:firstLine="480"/>
      </w:pPr>
    </w:p>
    <w:p>
      <w:pPr>
        <w:spacing w:before="48"/>
        <w:ind w:firstLine="480"/>
      </w:pPr>
    </w:p>
    <w:p>
      <w:pPr>
        <w:spacing w:before="48"/>
        <w:ind w:firstLine="480"/>
      </w:pPr>
    </w:p>
    <w:p>
      <w:pPr>
        <w:spacing w:before="48"/>
        <w:ind w:firstLine="480"/>
      </w:pPr>
    </w:p>
    <w:p>
      <w:pPr>
        <w:spacing w:before="48"/>
        <w:jc w:val="center"/>
      </w:pPr>
      <w:r>
        <w:rPr>
          <w:rFonts w:hint="eastAsia"/>
        </w:rPr>
        <w:drawing>
          <wp:inline distT="0" distB="0" distL="0" distR="0">
            <wp:extent cx="2095500" cy="1924050"/>
            <wp:effectExtent l="0" t="0" r="0" b="0"/>
            <wp:docPr id="14" name="图片 14" descr="天津大学标准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天津大学标准校徽"/>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095500" cy="1924050"/>
                    </a:xfrm>
                    <a:prstGeom prst="rect">
                      <a:avLst/>
                    </a:prstGeom>
                    <a:noFill/>
                    <a:ln>
                      <a:noFill/>
                    </a:ln>
                  </pic:spPr>
                </pic:pic>
              </a:graphicData>
            </a:graphic>
          </wp:inline>
        </w:drawing>
      </w:r>
    </w:p>
    <w:p>
      <w:pPr>
        <w:spacing w:before="48"/>
        <w:rPr>
          <w:sz w:val="10"/>
        </w:rPr>
      </w:pPr>
    </w:p>
    <w:p>
      <w:pPr>
        <w:spacing w:before="48"/>
        <w:ind w:firstLine="1928" w:firstLineChars="600"/>
        <w:jc w:val="left"/>
        <w:rPr>
          <w:rFonts w:hint="eastAsia" w:ascii="黑体" w:hAnsi="黑体" w:eastAsia="黑体"/>
          <w:b/>
          <w:sz w:val="32"/>
          <w:szCs w:val="32"/>
        </w:rPr>
      </w:pPr>
      <w:r>
        <w:rPr>
          <w:rFonts w:hint="eastAsia" w:ascii="黑体" w:hAnsi="黑体" w:eastAsia="黑体"/>
          <w:b/>
          <w:sz w:val="32"/>
          <w:szCs w:val="32"/>
        </w:rPr>
        <w:t>题目：便携式关节积液电阻抗层析成像系统</w:t>
      </w:r>
    </w:p>
    <w:p>
      <w:pPr>
        <w:spacing w:before="48"/>
        <w:ind w:firstLine="480"/>
      </w:pPr>
    </w:p>
    <w:p>
      <w:pPr>
        <w:spacing w:before="48"/>
        <w:ind w:firstLine="480"/>
      </w:pPr>
    </w:p>
    <w:p>
      <w:pPr>
        <w:spacing w:before="48"/>
        <w:ind w:left="1260" w:leftChars="0" w:firstLine="420" w:firstLineChars="0"/>
        <w:rPr>
          <w:rFonts w:hint="eastAsia" w:asciiTheme="minorEastAsia" w:hAnsiTheme="minorEastAsia"/>
          <w:b/>
          <w:sz w:val="32"/>
          <w:u w:val="single"/>
          <w:lang w:val="en-US" w:eastAsia="zh-CN"/>
        </w:rPr>
      </w:pPr>
      <w:r>
        <w:rPr>
          <w:rFonts w:hint="eastAsia" w:asciiTheme="minorEastAsia" w:hAnsiTheme="minorEastAsia"/>
          <w:b/>
          <w:sz w:val="32"/>
          <w:lang w:val="en-US" w:eastAsia="zh-CN"/>
        </w:rPr>
        <w:t>项目负责人</w:t>
      </w:r>
      <w:r>
        <w:rPr>
          <w:rFonts w:hint="eastAsia" w:asciiTheme="minorEastAsia" w:hAnsiTheme="minorEastAsia"/>
          <w:b/>
          <w:sz w:val="32"/>
        </w:rPr>
        <w:t xml:space="preserve"> </w:t>
      </w:r>
      <w:r>
        <w:rPr>
          <w:rFonts w:hint="eastAsia" w:asciiTheme="minorEastAsia" w:hAnsiTheme="minorEastAsia"/>
          <w:b/>
          <w:sz w:val="32"/>
          <w:u w:val="single"/>
        </w:rPr>
        <w:t>胡彦博</w:t>
      </w:r>
    </w:p>
    <w:p>
      <w:pPr>
        <w:spacing w:before="48"/>
        <w:ind w:firstLine="1844" w:firstLineChars="574"/>
        <w:rPr>
          <w:rFonts w:asciiTheme="minorEastAsia" w:hAnsiTheme="minorEastAsia"/>
          <w:b/>
          <w:sz w:val="32"/>
          <w:u w:val="single"/>
        </w:rPr>
      </w:pPr>
      <w:r>
        <w:rPr>
          <w:rFonts w:hint="eastAsia" w:asciiTheme="minorEastAsia" w:hAnsiTheme="minorEastAsia"/>
          <w:b/>
          <w:sz w:val="32"/>
        </w:rPr>
        <w:t xml:space="preserve">姓    名 </w:t>
      </w:r>
      <w:r>
        <w:rPr>
          <w:rFonts w:hint="eastAsia" w:asciiTheme="minorEastAsia" w:hAnsiTheme="minorEastAsia"/>
          <w:b/>
          <w:sz w:val="32"/>
          <w:u w:val="single"/>
        </w:rPr>
        <w:t xml:space="preserve"> 杜 溦 刘星月 蒲彦博</w:t>
      </w:r>
    </w:p>
    <w:p>
      <w:pPr>
        <w:spacing w:before="48"/>
        <w:ind w:firstLine="3213" w:firstLineChars="1000"/>
        <w:rPr>
          <w:rFonts w:hint="eastAsia" w:asciiTheme="minorEastAsia" w:hAnsiTheme="minorEastAsia"/>
          <w:b/>
          <w:sz w:val="32"/>
          <w:u w:val="single"/>
          <w:lang w:val="en-US" w:eastAsia="zh-CN"/>
        </w:rPr>
      </w:pPr>
      <w:r>
        <w:rPr>
          <w:rFonts w:hint="eastAsia" w:asciiTheme="minorEastAsia" w:hAnsiTheme="minorEastAsia"/>
          <w:b/>
          <w:sz w:val="32"/>
          <w:u w:val="single"/>
        </w:rPr>
        <w:t>王怡杰 罗欣琦</w:t>
      </w:r>
      <w:r>
        <w:rPr>
          <w:rFonts w:asciiTheme="minorEastAsia" w:hAnsiTheme="minorEastAsia"/>
          <w:b/>
          <w:sz w:val="32"/>
          <w:u w:val="single"/>
        </w:rPr>
        <w:t xml:space="preserve"> </w:t>
      </w:r>
      <w:r>
        <w:rPr>
          <w:rFonts w:hint="eastAsia" w:asciiTheme="minorEastAsia" w:hAnsiTheme="minorEastAsia"/>
          <w:b/>
          <w:sz w:val="32"/>
          <w:u w:val="single"/>
        </w:rPr>
        <w:t>彭思宇 杨雅茹</w:t>
      </w:r>
      <w:r>
        <w:rPr>
          <w:rFonts w:hint="eastAsia" w:asciiTheme="minorEastAsia" w:hAnsiTheme="minorEastAsia"/>
          <w:b/>
          <w:sz w:val="32"/>
          <w:u w:val="single"/>
          <w:lang w:val="en-US" w:eastAsia="zh-CN"/>
        </w:rPr>
        <w:t xml:space="preserve"> </w:t>
      </w:r>
    </w:p>
    <w:p>
      <w:pPr>
        <w:spacing w:before="48"/>
        <w:ind w:firstLine="3213" w:firstLineChars="1000"/>
        <w:rPr>
          <w:rFonts w:hint="default" w:asciiTheme="minorEastAsia" w:hAnsiTheme="minorEastAsia" w:eastAsiaTheme="minorEastAsia"/>
          <w:b/>
          <w:sz w:val="32"/>
          <w:u w:val="single"/>
          <w:lang w:val="en-US" w:eastAsia="zh-CN"/>
        </w:rPr>
      </w:pPr>
      <w:r>
        <w:rPr>
          <w:rFonts w:hint="eastAsia" w:asciiTheme="minorEastAsia" w:hAnsiTheme="minorEastAsia"/>
          <w:b/>
          <w:sz w:val="32"/>
          <w:u w:val="single"/>
          <w:lang w:val="en-US" w:eastAsia="zh-CN"/>
        </w:rPr>
        <w:t>杜成昊 黄译葳</w:t>
      </w:r>
    </w:p>
    <w:p>
      <w:pPr>
        <w:spacing w:before="48"/>
        <w:ind w:left="1260" w:leftChars="0" w:firstLine="420" w:firstLineChars="0"/>
        <w:rPr>
          <w:rFonts w:hint="default" w:asciiTheme="minorEastAsia" w:hAnsiTheme="minorEastAsia"/>
          <w:b/>
          <w:sz w:val="32"/>
          <w:u w:val="single"/>
          <w:lang w:val="en-US" w:eastAsia="zh-CN"/>
        </w:rPr>
      </w:pPr>
    </w:p>
    <w:p>
      <w:pPr>
        <w:ind w:left="238" w:firstLine="1606" w:firstLineChars="500"/>
        <w:rPr>
          <w:lang w:val="zh-CN"/>
        </w:rPr>
      </w:pPr>
      <w:r>
        <w:rPr>
          <w:rFonts w:hint="eastAsia" w:asciiTheme="minorEastAsia" w:hAnsiTheme="minorEastAsia"/>
          <w:b/>
          <w:sz w:val="32"/>
        </w:rPr>
        <w:t>指导</w:t>
      </w:r>
      <w:bookmarkStart w:id="54" w:name="_GoBack"/>
      <w:bookmarkEnd w:id="54"/>
      <w:r>
        <w:rPr>
          <w:rFonts w:hint="eastAsia" w:asciiTheme="minorEastAsia" w:hAnsiTheme="minorEastAsia"/>
          <w:b/>
          <w:sz w:val="32"/>
        </w:rPr>
        <w:t>教师 梁光辉</w:t>
      </w:r>
    </w:p>
    <w:sdt>
      <w:sdtPr>
        <w:rPr>
          <w:lang w:val="zh-CN"/>
        </w:rPr>
        <w:id w:val="-1351645451"/>
        <w:docPartObj>
          <w:docPartGallery w:val="Table of Contents"/>
          <w:docPartUnique/>
        </w:docPartObj>
      </w:sdtPr>
      <w:sdtEndPr>
        <w:rPr>
          <w:b/>
          <w:bCs/>
          <w:lang w:val="zh-CN"/>
        </w:rPr>
      </w:sdtEndPr>
      <w:sdtContent>
        <w:p>
          <w:pPr>
            <w:rPr>
              <w:lang w:val="zh-CN"/>
            </w:rPr>
          </w:pPr>
        </w:p>
        <w:p>
          <w:pPr>
            <w:widowControl/>
            <w:jc w:val="left"/>
            <w:rPr>
              <w:lang w:val="zh-CN"/>
            </w:rPr>
          </w:pPr>
          <w:r>
            <w:rPr>
              <w:lang w:val="zh-CN"/>
            </w:rPr>
            <w:br w:type="page"/>
          </w:r>
        </w:p>
        <w:p>
          <w:pPr>
            <w:pStyle w:val="27"/>
            <w:jc w:val="center"/>
            <w:rPr>
              <w:color w:val="auto"/>
            </w:rPr>
          </w:pPr>
          <w:r>
            <w:rPr>
              <w:color w:val="auto"/>
              <w:lang w:val="zh-CN"/>
            </w:rPr>
            <w:t>目录</w:t>
          </w:r>
        </w:p>
        <w:p>
          <w:pPr>
            <w:pStyle w:val="11"/>
            <w:tabs>
              <w:tab w:val="right" w:leader="dot" w:pos="8296"/>
            </w:tabs>
            <w:rPr>
              <w:szCs w:val="22"/>
            </w:rPr>
          </w:pPr>
          <w:r>
            <w:fldChar w:fldCharType="begin"/>
          </w:r>
          <w:r>
            <w:instrText xml:space="preserve"> TOC \o "1-3" \h \z \u </w:instrText>
          </w:r>
          <w:r>
            <w:fldChar w:fldCharType="separate"/>
          </w:r>
          <w:r>
            <w:fldChar w:fldCharType="begin"/>
          </w:r>
          <w:r>
            <w:instrText xml:space="preserve"> HYPERLINK \l "_Toc132368912" </w:instrText>
          </w:r>
          <w:r>
            <w:fldChar w:fldCharType="separate"/>
          </w:r>
          <w:r>
            <w:rPr>
              <w:rStyle w:val="17"/>
              <w:rFonts w:ascii="黑体" w:hAnsi="黑体" w:eastAsia="黑体"/>
            </w:rPr>
            <w:t>1 项目简介</w:t>
          </w:r>
          <w:r>
            <w:tab/>
          </w:r>
          <w:r>
            <w:fldChar w:fldCharType="begin"/>
          </w:r>
          <w:r>
            <w:instrText xml:space="preserve"> PAGEREF _Toc132368912 \h </w:instrText>
          </w:r>
          <w:r>
            <w:fldChar w:fldCharType="separate"/>
          </w:r>
          <w:r>
            <w:t>3</w:t>
          </w:r>
          <w:r>
            <w:fldChar w:fldCharType="end"/>
          </w:r>
          <w:r>
            <w:fldChar w:fldCharType="end"/>
          </w:r>
        </w:p>
        <w:p>
          <w:pPr>
            <w:pStyle w:val="12"/>
            <w:tabs>
              <w:tab w:val="right" w:leader="dot" w:pos="8296"/>
            </w:tabs>
            <w:rPr>
              <w:szCs w:val="22"/>
            </w:rPr>
          </w:pPr>
          <w:r>
            <w:fldChar w:fldCharType="begin"/>
          </w:r>
          <w:r>
            <w:instrText xml:space="preserve"> HYPERLINK \l "_Toc132368913" </w:instrText>
          </w:r>
          <w:r>
            <w:fldChar w:fldCharType="separate"/>
          </w:r>
          <w:r>
            <w:rPr>
              <w:rStyle w:val="17"/>
              <w:rFonts w:ascii="黑体" w:hAnsi="黑体"/>
            </w:rPr>
            <w:t>1.1研发背景</w:t>
          </w:r>
          <w:r>
            <w:tab/>
          </w:r>
          <w:r>
            <w:fldChar w:fldCharType="begin"/>
          </w:r>
          <w:r>
            <w:instrText xml:space="preserve"> PAGEREF _Toc132368913 \h </w:instrText>
          </w:r>
          <w:r>
            <w:fldChar w:fldCharType="separate"/>
          </w:r>
          <w:r>
            <w:t>3</w:t>
          </w:r>
          <w:r>
            <w:fldChar w:fldCharType="end"/>
          </w:r>
          <w:r>
            <w:fldChar w:fldCharType="end"/>
          </w:r>
        </w:p>
        <w:p>
          <w:pPr>
            <w:pStyle w:val="12"/>
            <w:tabs>
              <w:tab w:val="right" w:leader="dot" w:pos="8296"/>
            </w:tabs>
            <w:rPr>
              <w:szCs w:val="22"/>
            </w:rPr>
          </w:pPr>
          <w:r>
            <w:fldChar w:fldCharType="begin"/>
          </w:r>
          <w:r>
            <w:instrText xml:space="preserve"> HYPERLINK \l "_Toc132368914" </w:instrText>
          </w:r>
          <w:r>
            <w:fldChar w:fldCharType="separate"/>
          </w:r>
          <w:r>
            <w:rPr>
              <w:rStyle w:val="17"/>
              <w:rFonts w:ascii="黑体" w:hAnsi="黑体" w:cs="宋体"/>
              <w:kern w:val="0"/>
              <w:lang w:bidi="ar"/>
            </w:rPr>
            <w:t xml:space="preserve">1.2 </w:t>
          </w:r>
          <w:r>
            <w:rPr>
              <w:rStyle w:val="17"/>
              <w:rFonts w:ascii="黑体" w:hAnsi="黑体"/>
            </w:rPr>
            <w:t>产品介绍</w:t>
          </w:r>
          <w:r>
            <w:tab/>
          </w:r>
          <w:r>
            <w:fldChar w:fldCharType="begin"/>
          </w:r>
          <w:r>
            <w:instrText xml:space="preserve"> PAGEREF _Toc132368914 \h </w:instrText>
          </w:r>
          <w:r>
            <w:fldChar w:fldCharType="separate"/>
          </w:r>
          <w:r>
            <w:t>4</w:t>
          </w:r>
          <w:r>
            <w:fldChar w:fldCharType="end"/>
          </w:r>
          <w:r>
            <w:fldChar w:fldCharType="end"/>
          </w:r>
        </w:p>
        <w:p>
          <w:pPr>
            <w:pStyle w:val="12"/>
            <w:tabs>
              <w:tab w:val="right" w:leader="dot" w:pos="8296"/>
            </w:tabs>
            <w:rPr>
              <w:szCs w:val="22"/>
            </w:rPr>
          </w:pPr>
          <w:r>
            <w:fldChar w:fldCharType="begin"/>
          </w:r>
          <w:r>
            <w:instrText xml:space="preserve"> HYPERLINK \l "_Toc132368915" </w:instrText>
          </w:r>
          <w:r>
            <w:fldChar w:fldCharType="separate"/>
          </w:r>
          <w:r>
            <w:rPr>
              <w:rStyle w:val="17"/>
              <w:rFonts w:ascii="黑体" w:hAnsi="黑体"/>
            </w:rPr>
            <w:t>1.3 产品创新性</w:t>
          </w:r>
          <w:r>
            <w:tab/>
          </w:r>
          <w:r>
            <w:fldChar w:fldCharType="begin"/>
          </w:r>
          <w:r>
            <w:instrText xml:space="preserve"> PAGEREF _Toc132368915 \h </w:instrText>
          </w:r>
          <w:r>
            <w:fldChar w:fldCharType="separate"/>
          </w:r>
          <w:r>
            <w:t>5</w:t>
          </w:r>
          <w:r>
            <w:fldChar w:fldCharType="end"/>
          </w:r>
          <w:r>
            <w:fldChar w:fldCharType="end"/>
          </w:r>
        </w:p>
        <w:p>
          <w:pPr>
            <w:pStyle w:val="7"/>
            <w:tabs>
              <w:tab w:val="right" w:leader="dot" w:pos="8296"/>
            </w:tabs>
            <w:rPr>
              <w:szCs w:val="22"/>
            </w:rPr>
          </w:pPr>
          <w:r>
            <w:fldChar w:fldCharType="begin"/>
          </w:r>
          <w:r>
            <w:instrText xml:space="preserve"> HYPERLINK \l "_Toc132368916" </w:instrText>
          </w:r>
          <w:r>
            <w:fldChar w:fldCharType="separate"/>
          </w:r>
          <w:r>
            <w:rPr>
              <w:rStyle w:val="17"/>
              <w:rFonts w:ascii="黑体" w:hAnsi="黑体" w:eastAsia="黑体" w:cs="宋体"/>
              <w:kern w:val="0"/>
              <w:lang w:bidi="ar"/>
            </w:rPr>
            <w:t>1.3.1 数据可视化</w:t>
          </w:r>
          <w:r>
            <w:tab/>
          </w:r>
          <w:r>
            <w:fldChar w:fldCharType="begin"/>
          </w:r>
          <w:r>
            <w:instrText xml:space="preserve"> PAGEREF _Toc132368916 \h </w:instrText>
          </w:r>
          <w:r>
            <w:fldChar w:fldCharType="separate"/>
          </w:r>
          <w:r>
            <w:t>5</w:t>
          </w:r>
          <w:r>
            <w:fldChar w:fldCharType="end"/>
          </w:r>
          <w:r>
            <w:fldChar w:fldCharType="end"/>
          </w:r>
        </w:p>
        <w:p>
          <w:pPr>
            <w:pStyle w:val="7"/>
            <w:tabs>
              <w:tab w:val="right" w:leader="dot" w:pos="8296"/>
            </w:tabs>
            <w:rPr>
              <w:szCs w:val="22"/>
            </w:rPr>
          </w:pPr>
          <w:r>
            <w:fldChar w:fldCharType="begin"/>
          </w:r>
          <w:r>
            <w:instrText xml:space="preserve"> HYPERLINK \l "_Toc132368917" </w:instrText>
          </w:r>
          <w:r>
            <w:fldChar w:fldCharType="separate"/>
          </w:r>
          <w:r>
            <w:rPr>
              <w:rStyle w:val="17"/>
              <w:rFonts w:ascii="黑体" w:hAnsi="黑体" w:eastAsia="黑体" w:cs="宋体"/>
              <w:kern w:val="0"/>
              <w:lang w:bidi="ar"/>
            </w:rPr>
            <w:t>1.3.2 靶点精准化</w:t>
          </w:r>
          <w:r>
            <w:tab/>
          </w:r>
          <w:r>
            <w:fldChar w:fldCharType="begin"/>
          </w:r>
          <w:r>
            <w:instrText xml:space="preserve"> PAGEREF _Toc132368917 \h </w:instrText>
          </w:r>
          <w:r>
            <w:fldChar w:fldCharType="separate"/>
          </w:r>
          <w:r>
            <w:t>5</w:t>
          </w:r>
          <w:r>
            <w:fldChar w:fldCharType="end"/>
          </w:r>
          <w:r>
            <w:fldChar w:fldCharType="end"/>
          </w:r>
        </w:p>
        <w:p>
          <w:pPr>
            <w:pStyle w:val="7"/>
            <w:tabs>
              <w:tab w:val="right" w:leader="dot" w:pos="8296"/>
            </w:tabs>
            <w:rPr>
              <w:szCs w:val="22"/>
            </w:rPr>
          </w:pPr>
          <w:r>
            <w:fldChar w:fldCharType="begin"/>
          </w:r>
          <w:r>
            <w:instrText xml:space="preserve"> HYPERLINK \l "_Toc132368918" </w:instrText>
          </w:r>
          <w:r>
            <w:fldChar w:fldCharType="separate"/>
          </w:r>
          <w:r>
            <w:rPr>
              <w:rStyle w:val="17"/>
              <w:rFonts w:ascii="黑体" w:hAnsi="黑体" w:eastAsia="黑体" w:cs="宋体"/>
              <w:kern w:val="0"/>
              <w:lang w:bidi="ar"/>
            </w:rPr>
            <w:t>1.3.3 监测实时化</w:t>
          </w:r>
          <w:r>
            <w:tab/>
          </w:r>
          <w:r>
            <w:fldChar w:fldCharType="begin"/>
          </w:r>
          <w:r>
            <w:instrText xml:space="preserve"> PAGEREF _Toc132368918 \h </w:instrText>
          </w:r>
          <w:r>
            <w:fldChar w:fldCharType="separate"/>
          </w:r>
          <w:r>
            <w:t>5</w:t>
          </w:r>
          <w:r>
            <w:fldChar w:fldCharType="end"/>
          </w:r>
          <w:r>
            <w:fldChar w:fldCharType="end"/>
          </w:r>
        </w:p>
        <w:p>
          <w:pPr>
            <w:pStyle w:val="7"/>
            <w:tabs>
              <w:tab w:val="right" w:leader="dot" w:pos="8296"/>
            </w:tabs>
            <w:rPr>
              <w:szCs w:val="22"/>
            </w:rPr>
          </w:pPr>
          <w:r>
            <w:fldChar w:fldCharType="begin"/>
          </w:r>
          <w:r>
            <w:instrText xml:space="preserve"> HYPERLINK \l "_Toc132368919" </w:instrText>
          </w:r>
          <w:r>
            <w:fldChar w:fldCharType="separate"/>
          </w:r>
          <w:r>
            <w:rPr>
              <w:rStyle w:val="17"/>
              <w:rFonts w:ascii="黑体" w:hAnsi="黑体" w:eastAsia="黑体" w:cs="宋体"/>
              <w:kern w:val="0"/>
              <w:lang w:bidi="ar"/>
            </w:rPr>
            <w:t>1.3.4 检测便捷化</w:t>
          </w:r>
          <w:r>
            <w:tab/>
          </w:r>
          <w:r>
            <w:fldChar w:fldCharType="begin"/>
          </w:r>
          <w:r>
            <w:instrText xml:space="preserve"> PAGEREF _Toc132368919 \h </w:instrText>
          </w:r>
          <w:r>
            <w:fldChar w:fldCharType="separate"/>
          </w:r>
          <w:r>
            <w:t>6</w:t>
          </w:r>
          <w:r>
            <w:fldChar w:fldCharType="end"/>
          </w:r>
          <w:r>
            <w:fldChar w:fldCharType="end"/>
          </w:r>
        </w:p>
        <w:p>
          <w:pPr>
            <w:pStyle w:val="7"/>
            <w:tabs>
              <w:tab w:val="right" w:leader="dot" w:pos="8296"/>
            </w:tabs>
            <w:rPr>
              <w:rStyle w:val="17"/>
              <w:rFonts w:ascii="黑体" w:hAnsi="黑体" w:eastAsia="黑体" w:cs="宋体"/>
              <w:kern w:val="0"/>
              <w:lang w:bidi="ar"/>
            </w:rPr>
          </w:pPr>
          <w:r>
            <w:fldChar w:fldCharType="begin"/>
          </w:r>
          <w:r>
            <w:instrText xml:space="preserve"> HYPERLINK \l "_Toc132368920" </w:instrText>
          </w:r>
          <w:r>
            <w:fldChar w:fldCharType="separate"/>
          </w:r>
          <w:r>
            <w:rPr>
              <w:rStyle w:val="17"/>
              <w:rFonts w:ascii="黑体" w:hAnsi="黑体" w:eastAsia="黑体" w:cs="宋体"/>
              <w:kern w:val="0"/>
              <w:lang w:bidi="ar"/>
            </w:rPr>
            <w:t xml:space="preserve">1.3.5 </w:t>
          </w:r>
          <w:r>
            <w:rPr>
              <w:rStyle w:val="17"/>
              <w:rFonts w:hint="eastAsia" w:ascii="黑体" w:hAnsi="黑体" w:eastAsia="黑体" w:cs="宋体"/>
              <w:kern w:val="0"/>
              <w:lang w:bidi="ar"/>
            </w:rPr>
            <w:t>安全无</w:t>
          </w:r>
          <w:r>
            <w:rPr>
              <w:rStyle w:val="17"/>
              <w:rFonts w:ascii="黑体" w:hAnsi="黑体" w:eastAsia="黑体" w:cs="宋体"/>
              <w:kern w:val="0"/>
              <w:lang w:bidi="ar"/>
            </w:rPr>
            <w:t xml:space="preserve">辐射                                                      </w:t>
          </w:r>
          <w:r>
            <w:rPr>
              <w:rStyle w:val="17"/>
              <w:rFonts w:ascii="黑体" w:hAnsi="黑体" w:eastAsia="黑体" w:cs="宋体"/>
              <w:kern w:val="0"/>
              <w:lang w:bidi="ar"/>
            </w:rPr>
            <w:fldChar w:fldCharType="begin"/>
          </w:r>
          <w:r>
            <w:rPr>
              <w:rStyle w:val="17"/>
              <w:rFonts w:ascii="黑体" w:hAnsi="黑体" w:eastAsia="黑体" w:cs="宋体"/>
              <w:kern w:val="0"/>
              <w:lang w:bidi="ar"/>
            </w:rPr>
            <w:instrText xml:space="preserve"> PAGEREF _Toc132368920 \h </w:instrText>
          </w:r>
          <w:r>
            <w:rPr>
              <w:rStyle w:val="17"/>
              <w:rFonts w:ascii="黑体" w:hAnsi="黑体" w:eastAsia="黑体" w:cs="宋体"/>
              <w:kern w:val="0"/>
              <w:lang w:bidi="ar"/>
            </w:rPr>
            <w:fldChar w:fldCharType="separate"/>
          </w:r>
          <w:r>
            <w:rPr>
              <w:rStyle w:val="17"/>
              <w:rFonts w:ascii="黑体" w:hAnsi="黑体" w:eastAsia="黑体" w:cs="宋体"/>
              <w:kern w:val="0"/>
              <w:lang w:bidi="ar"/>
            </w:rPr>
            <w:t>6</w:t>
          </w:r>
          <w:r>
            <w:rPr>
              <w:rStyle w:val="17"/>
              <w:rFonts w:ascii="黑体" w:hAnsi="黑体" w:eastAsia="黑体" w:cs="宋体"/>
              <w:kern w:val="0"/>
              <w:lang w:bidi="ar"/>
            </w:rPr>
            <w:fldChar w:fldCharType="end"/>
          </w:r>
          <w:r>
            <w:rPr>
              <w:rStyle w:val="17"/>
              <w:rFonts w:ascii="黑体" w:hAnsi="黑体" w:eastAsia="黑体" w:cs="宋体"/>
              <w:kern w:val="0"/>
              <w:lang w:bidi="ar"/>
            </w:rPr>
            <w:fldChar w:fldCharType="end"/>
          </w:r>
        </w:p>
        <w:p>
          <w:pPr>
            <w:pStyle w:val="12"/>
            <w:tabs>
              <w:tab w:val="right" w:leader="dot" w:pos="8296"/>
            </w:tabs>
            <w:rPr>
              <w:szCs w:val="22"/>
            </w:rPr>
          </w:pPr>
          <w:r>
            <w:fldChar w:fldCharType="begin"/>
          </w:r>
          <w:r>
            <w:instrText xml:space="preserve"> HYPERLINK \l "_Toc132368921" </w:instrText>
          </w:r>
          <w:r>
            <w:fldChar w:fldCharType="separate"/>
          </w:r>
          <w:r>
            <w:rPr>
              <w:rStyle w:val="17"/>
              <w:rFonts w:ascii="黑体" w:hAnsi="黑体" w:cs="宋体"/>
              <w:kern w:val="0"/>
              <w:lang w:bidi="ar"/>
            </w:rPr>
            <w:t>1.4</w:t>
          </w:r>
          <w:r>
            <w:rPr>
              <w:rStyle w:val="17"/>
              <w:rFonts w:ascii="黑体" w:hAnsi="黑体"/>
            </w:rPr>
            <w:t>竞争优势</w:t>
          </w:r>
          <w:r>
            <w:tab/>
          </w:r>
          <w:r>
            <w:fldChar w:fldCharType="begin"/>
          </w:r>
          <w:r>
            <w:instrText xml:space="preserve"> PAGEREF _Toc132368921 \h </w:instrText>
          </w:r>
          <w:r>
            <w:fldChar w:fldCharType="separate"/>
          </w:r>
          <w:r>
            <w:t>6</w:t>
          </w:r>
          <w:r>
            <w:fldChar w:fldCharType="end"/>
          </w:r>
          <w:r>
            <w:fldChar w:fldCharType="end"/>
          </w:r>
        </w:p>
        <w:p>
          <w:pPr>
            <w:pStyle w:val="12"/>
            <w:tabs>
              <w:tab w:val="right" w:leader="dot" w:pos="8296"/>
            </w:tabs>
            <w:rPr>
              <w:szCs w:val="22"/>
            </w:rPr>
          </w:pPr>
          <w:r>
            <w:fldChar w:fldCharType="begin"/>
          </w:r>
          <w:r>
            <w:instrText xml:space="preserve"> HYPERLINK \l "_Toc132368922" </w:instrText>
          </w:r>
          <w:r>
            <w:fldChar w:fldCharType="separate"/>
          </w:r>
          <w:r>
            <w:rPr>
              <w:rStyle w:val="17"/>
              <w:rFonts w:ascii="黑体" w:hAnsi="黑体" w:cs="宋体"/>
              <w:kern w:val="0"/>
              <w:lang w:bidi="ar"/>
            </w:rPr>
            <w:t xml:space="preserve">1.5 </w:t>
          </w:r>
          <w:r>
            <w:rPr>
              <w:rStyle w:val="17"/>
              <w:rFonts w:ascii="黑体" w:hAnsi="黑体"/>
            </w:rPr>
            <w:t>服务</w:t>
          </w:r>
          <w:r>
            <w:tab/>
          </w:r>
          <w:r>
            <w:fldChar w:fldCharType="begin"/>
          </w:r>
          <w:r>
            <w:instrText xml:space="preserve"> PAGEREF _Toc132368922 \h </w:instrText>
          </w:r>
          <w:r>
            <w:fldChar w:fldCharType="separate"/>
          </w:r>
          <w:r>
            <w:t>6</w:t>
          </w:r>
          <w:r>
            <w:fldChar w:fldCharType="end"/>
          </w:r>
          <w:r>
            <w:fldChar w:fldCharType="end"/>
          </w:r>
        </w:p>
        <w:p>
          <w:pPr>
            <w:pStyle w:val="11"/>
            <w:tabs>
              <w:tab w:val="right" w:leader="dot" w:pos="8296"/>
            </w:tabs>
            <w:rPr>
              <w:szCs w:val="22"/>
            </w:rPr>
          </w:pPr>
          <w:r>
            <w:fldChar w:fldCharType="begin"/>
          </w:r>
          <w:r>
            <w:instrText xml:space="preserve"> HYPERLINK \l "_Toc132368923" </w:instrText>
          </w:r>
          <w:r>
            <w:fldChar w:fldCharType="separate"/>
          </w:r>
          <w:r>
            <w:rPr>
              <w:rStyle w:val="17"/>
              <w:rFonts w:ascii="黑体" w:hAnsi="黑体" w:eastAsia="黑体"/>
            </w:rPr>
            <w:t>2 市场分析</w:t>
          </w:r>
          <w:r>
            <w:tab/>
          </w:r>
          <w:r>
            <w:fldChar w:fldCharType="begin"/>
          </w:r>
          <w:r>
            <w:instrText xml:space="preserve"> PAGEREF _Toc132368923 \h </w:instrText>
          </w:r>
          <w:r>
            <w:fldChar w:fldCharType="separate"/>
          </w:r>
          <w:r>
            <w:t>7</w:t>
          </w:r>
          <w:r>
            <w:fldChar w:fldCharType="end"/>
          </w:r>
          <w:r>
            <w:fldChar w:fldCharType="end"/>
          </w:r>
        </w:p>
        <w:p>
          <w:pPr>
            <w:pStyle w:val="12"/>
            <w:tabs>
              <w:tab w:val="left" w:pos="1050"/>
              <w:tab w:val="right" w:leader="dot" w:pos="8296"/>
            </w:tabs>
            <w:rPr>
              <w:szCs w:val="22"/>
            </w:rPr>
          </w:pPr>
          <w:r>
            <w:fldChar w:fldCharType="begin"/>
          </w:r>
          <w:r>
            <w:instrText xml:space="preserve"> HYPERLINK \l "_Toc132368924" </w:instrText>
          </w:r>
          <w:r>
            <w:fldChar w:fldCharType="separate"/>
          </w:r>
          <w:r>
            <w:rPr>
              <w:rStyle w:val="17"/>
              <w:rFonts w:ascii="黑体" w:hAnsi="黑体" w:eastAsia="黑体"/>
            </w:rPr>
            <w:t>2.1</w:t>
          </w:r>
          <w:r>
            <w:rPr>
              <w:szCs w:val="22"/>
            </w:rPr>
            <w:tab/>
          </w:r>
          <w:r>
            <w:rPr>
              <w:rStyle w:val="17"/>
              <w:rFonts w:ascii="黑体" w:hAnsi="黑体" w:eastAsia="黑体"/>
            </w:rPr>
            <w:t>PEST（宏观环境分析）</w:t>
          </w:r>
          <w:r>
            <w:tab/>
          </w:r>
          <w:r>
            <w:fldChar w:fldCharType="begin"/>
          </w:r>
          <w:r>
            <w:instrText xml:space="preserve"> PAGEREF _Toc132368924 \h </w:instrText>
          </w:r>
          <w:r>
            <w:fldChar w:fldCharType="separate"/>
          </w:r>
          <w:r>
            <w:t>7</w:t>
          </w:r>
          <w:r>
            <w:fldChar w:fldCharType="end"/>
          </w:r>
          <w:r>
            <w:fldChar w:fldCharType="end"/>
          </w:r>
        </w:p>
        <w:p>
          <w:pPr>
            <w:pStyle w:val="7"/>
            <w:tabs>
              <w:tab w:val="right" w:leader="dot" w:pos="8296"/>
            </w:tabs>
            <w:rPr>
              <w:szCs w:val="22"/>
            </w:rPr>
          </w:pPr>
          <w:r>
            <w:fldChar w:fldCharType="begin"/>
          </w:r>
          <w:r>
            <w:instrText xml:space="preserve"> HYPERLINK \l "_Toc132368925" </w:instrText>
          </w:r>
          <w:r>
            <w:fldChar w:fldCharType="separate"/>
          </w:r>
          <w:r>
            <w:rPr>
              <w:rStyle w:val="17"/>
              <w:rFonts w:ascii="黑体" w:hAnsi="黑体" w:eastAsia="黑体"/>
            </w:rPr>
            <w:t>2.1.1 政策环境</w:t>
          </w:r>
          <w:r>
            <w:tab/>
          </w:r>
          <w:r>
            <w:fldChar w:fldCharType="begin"/>
          </w:r>
          <w:r>
            <w:instrText xml:space="preserve"> PAGEREF _Toc132368925 \h </w:instrText>
          </w:r>
          <w:r>
            <w:fldChar w:fldCharType="separate"/>
          </w:r>
          <w:r>
            <w:t>7</w:t>
          </w:r>
          <w:r>
            <w:fldChar w:fldCharType="end"/>
          </w:r>
          <w:r>
            <w:fldChar w:fldCharType="end"/>
          </w:r>
        </w:p>
        <w:p>
          <w:pPr>
            <w:pStyle w:val="7"/>
            <w:tabs>
              <w:tab w:val="right" w:leader="dot" w:pos="8296"/>
            </w:tabs>
            <w:rPr>
              <w:szCs w:val="22"/>
            </w:rPr>
          </w:pPr>
          <w:r>
            <w:fldChar w:fldCharType="begin"/>
          </w:r>
          <w:r>
            <w:instrText xml:space="preserve"> HYPERLINK \l "_Toc132368926" </w:instrText>
          </w:r>
          <w:r>
            <w:fldChar w:fldCharType="separate"/>
          </w:r>
          <w:r>
            <w:rPr>
              <w:rStyle w:val="17"/>
              <w:rFonts w:ascii="黑体" w:hAnsi="黑体" w:eastAsia="黑体"/>
            </w:rPr>
            <w:t>2.1.2 经济环境</w:t>
          </w:r>
          <w:r>
            <w:tab/>
          </w:r>
          <w:r>
            <w:fldChar w:fldCharType="begin"/>
          </w:r>
          <w:r>
            <w:instrText xml:space="preserve"> PAGEREF _Toc132368926 \h </w:instrText>
          </w:r>
          <w:r>
            <w:fldChar w:fldCharType="separate"/>
          </w:r>
          <w:r>
            <w:t>9</w:t>
          </w:r>
          <w:r>
            <w:fldChar w:fldCharType="end"/>
          </w:r>
          <w:r>
            <w:fldChar w:fldCharType="end"/>
          </w:r>
        </w:p>
        <w:p>
          <w:pPr>
            <w:pStyle w:val="7"/>
            <w:tabs>
              <w:tab w:val="right" w:leader="dot" w:pos="8296"/>
            </w:tabs>
            <w:rPr>
              <w:szCs w:val="22"/>
            </w:rPr>
          </w:pPr>
          <w:r>
            <w:fldChar w:fldCharType="begin"/>
          </w:r>
          <w:r>
            <w:instrText xml:space="preserve"> HYPERLINK \l "_Toc132368927" </w:instrText>
          </w:r>
          <w:r>
            <w:fldChar w:fldCharType="separate"/>
          </w:r>
          <w:r>
            <w:rPr>
              <w:rStyle w:val="17"/>
              <w:rFonts w:ascii="黑体" w:hAnsi="黑体"/>
            </w:rPr>
            <w:t>2.1.3 社会环境</w:t>
          </w:r>
          <w:r>
            <w:tab/>
          </w:r>
          <w:r>
            <w:fldChar w:fldCharType="begin"/>
          </w:r>
          <w:r>
            <w:instrText xml:space="preserve"> PAGEREF _Toc132368927 \h </w:instrText>
          </w:r>
          <w:r>
            <w:fldChar w:fldCharType="separate"/>
          </w:r>
          <w:r>
            <w:t>10</w:t>
          </w:r>
          <w:r>
            <w:fldChar w:fldCharType="end"/>
          </w:r>
          <w:r>
            <w:fldChar w:fldCharType="end"/>
          </w:r>
        </w:p>
        <w:p>
          <w:pPr>
            <w:pStyle w:val="7"/>
            <w:tabs>
              <w:tab w:val="right" w:leader="dot" w:pos="8296"/>
            </w:tabs>
            <w:rPr>
              <w:szCs w:val="22"/>
            </w:rPr>
          </w:pPr>
          <w:r>
            <w:fldChar w:fldCharType="begin"/>
          </w:r>
          <w:r>
            <w:instrText xml:space="preserve"> HYPERLINK \l "_Toc132368928" </w:instrText>
          </w:r>
          <w:r>
            <w:fldChar w:fldCharType="separate"/>
          </w:r>
          <w:r>
            <w:rPr>
              <w:rStyle w:val="17"/>
              <w:rFonts w:ascii="黑体" w:hAnsi="黑体" w:eastAsia="黑体"/>
            </w:rPr>
            <w:t>2.1.4 技术环境</w:t>
          </w:r>
          <w:r>
            <w:tab/>
          </w:r>
          <w:r>
            <w:fldChar w:fldCharType="begin"/>
          </w:r>
          <w:r>
            <w:instrText xml:space="preserve"> PAGEREF _Toc132368928 \h </w:instrText>
          </w:r>
          <w:r>
            <w:fldChar w:fldCharType="separate"/>
          </w:r>
          <w:r>
            <w:t>11</w:t>
          </w:r>
          <w:r>
            <w:fldChar w:fldCharType="end"/>
          </w:r>
          <w:r>
            <w:fldChar w:fldCharType="end"/>
          </w:r>
        </w:p>
        <w:p>
          <w:pPr>
            <w:pStyle w:val="7"/>
            <w:tabs>
              <w:tab w:val="right" w:leader="dot" w:pos="8296"/>
            </w:tabs>
            <w:rPr>
              <w:szCs w:val="22"/>
            </w:rPr>
          </w:pPr>
          <w:r>
            <w:fldChar w:fldCharType="begin"/>
          </w:r>
          <w:r>
            <w:instrText xml:space="preserve"> HYPERLINK \l "_Toc132368929" </w:instrText>
          </w:r>
          <w:r>
            <w:fldChar w:fldCharType="separate"/>
          </w:r>
          <w:r>
            <w:rPr>
              <w:rStyle w:val="17"/>
              <w:rFonts w:ascii="黑体" w:hAnsi="黑体" w:eastAsia="黑体" w:cs="宋体"/>
            </w:rPr>
            <w:t xml:space="preserve">2.1.5 </w:t>
          </w:r>
          <w:r>
            <w:rPr>
              <w:rStyle w:val="17"/>
              <w:rFonts w:ascii="黑体" w:hAnsi="黑体" w:eastAsia="黑体"/>
            </w:rPr>
            <w:t>行业背景分析</w:t>
          </w:r>
          <w:r>
            <w:tab/>
          </w:r>
          <w:r>
            <w:fldChar w:fldCharType="begin"/>
          </w:r>
          <w:r>
            <w:instrText xml:space="preserve"> PAGEREF _Toc132368929 \h </w:instrText>
          </w:r>
          <w:r>
            <w:fldChar w:fldCharType="separate"/>
          </w:r>
          <w:r>
            <w:t>12</w:t>
          </w:r>
          <w:r>
            <w:fldChar w:fldCharType="end"/>
          </w:r>
          <w:r>
            <w:fldChar w:fldCharType="end"/>
          </w:r>
        </w:p>
        <w:p>
          <w:pPr>
            <w:pStyle w:val="7"/>
            <w:tabs>
              <w:tab w:val="right" w:leader="dot" w:pos="8296"/>
            </w:tabs>
            <w:rPr>
              <w:szCs w:val="22"/>
            </w:rPr>
          </w:pPr>
          <w:r>
            <w:fldChar w:fldCharType="begin"/>
          </w:r>
          <w:r>
            <w:instrText xml:space="preserve"> HYPERLINK \l "_Toc132368930" </w:instrText>
          </w:r>
          <w:r>
            <w:fldChar w:fldCharType="separate"/>
          </w:r>
          <w:r>
            <w:rPr>
              <w:rStyle w:val="17"/>
              <w:rFonts w:ascii="黑体" w:hAnsi="黑体" w:eastAsia="黑体"/>
            </w:rPr>
            <w:t>2.1.6 竞争分析</w:t>
          </w:r>
          <w:r>
            <w:tab/>
          </w:r>
          <w:r>
            <w:fldChar w:fldCharType="begin"/>
          </w:r>
          <w:r>
            <w:instrText xml:space="preserve"> PAGEREF _Toc132368930 \h </w:instrText>
          </w:r>
          <w:r>
            <w:fldChar w:fldCharType="separate"/>
          </w:r>
          <w:r>
            <w:t>12</w:t>
          </w:r>
          <w:r>
            <w:fldChar w:fldCharType="end"/>
          </w:r>
          <w:r>
            <w:fldChar w:fldCharType="end"/>
          </w:r>
        </w:p>
        <w:p>
          <w:pPr>
            <w:pStyle w:val="7"/>
            <w:tabs>
              <w:tab w:val="right" w:leader="dot" w:pos="8296"/>
            </w:tabs>
            <w:rPr>
              <w:szCs w:val="22"/>
            </w:rPr>
          </w:pPr>
          <w:r>
            <w:fldChar w:fldCharType="begin"/>
          </w:r>
          <w:r>
            <w:instrText xml:space="preserve"> HYPERLINK \l "_Toc132368931" </w:instrText>
          </w:r>
          <w:r>
            <w:fldChar w:fldCharType="separate"/>
          </w:r>
          <w:r>
            <w:rPr>
              <w:rStyle w:val="17"/>
              <w:rFonts w:ascii="黑体" w:hAnsi="黑体" w:eastAsia="黑体"/>
            </w:rPr>
            <w:t>2.1.7 竞争优势</w:t>
          </w:r>
          <w:r>
            <w:tab/>
          </w:r>
          <w:r>
            <w:fldChar w:fldCharType="begin"/>
          </w:r>
          <w:r>
            <w:instrText xml:space="preserve"> PAGEREF _Toc132368931 \h </w:instrText>
          </w:r>
          <w:r>
            <w:fldChar w:fldCharType="separate"/>
          </w:r>
          <w:r>
            <w:t>12</w:t>
          </w:r>
          <w:r>
            <w:fldChar w:fldCharType="end"/>
          </w:r>
          <w:r>
            <w:fldChar w:fldCharType="end"/>
          </w:r>
        </w:p>
        <w:p>
          <w:pPr>
            <w:pStyle w:val="7"/>
            <w:tabs>
              <w:tab w:val="right" w:leader="dot" w:pos="8296"/>
            </w:tabs>
            <w:rPr>
              <w:szCs w:val="22"/>
            </w:rPr>
          </w:pPr>
          <w:r>
            <w:fldChar w:fldCharType="begin"/>
          </w:r>
          <w:r>
            <w:instrText xml:space="preserve"> HYPERLINK \l "_Toc132368932" </w:instrText>
          </w:r>
          <w:r>
            <w:fldChar w:fldCharType="separate"/>
          </w:r>
          <w:r>
            <w:rPr>
              <w:rStyle w:val="17"/>
              <w:rFonts w:ascii="黑体" w:hAnsi="黑体" w:eastAsia="黑体" w:cs="宋体"/>
            </w:rPr>
            <w:t xml:space="preserve">2.1.8 </w:t>
          </w:r>
          <w:r>
            <w:rPr>
              <w:rStyle w:val="17"/>
              <w:rFonts w:ascii="黑体" w:hAnsi="黑体" w:eastAsia="黑体"/>
            </w:rPr>
            <w:t>竞争劣势及解决方案</w:t>
          </w:r>
          <w:r>
            <w:tab/>
          </w:r>
          <w:r>
            <w:fldChar w:fldCharType="begin"/>
          </w:r>
          <w:r>
            <w:instrText xml:space="preserve"> PAGEREF _Toc132368932 \h </w:instrText>
          </w:r>
          <w:r>
            <w:fldChar w:fldCharType="separate"/>
          </w:r>
          <w:r>
            <w:t>13</w:t>
          </w:r>
          <w:r>
            <w:fldChar w:fldCharType="end"/>
          </w:r>
          <w:r>
            <w:fldChar w:fldCharType="end"/>
          </w:r>
        </w:p>
        <w:p>
          <w:pPr>
            <w:pStyle w:val="7"/>
            <w:tabs>
              <w:tab w:val="right" w:leader="dot" w:pos="8296"/>
            </w:tabs>
            <w:rPr>
              <w:szCs w:val="22"/>
            </w:rPr>
          </w:pPr>
          <w:r>
            <w:fldChar w:fldCharType="begin"/>
          </w:r>
          <w:r>
            <w:instrText xml:space="preserve"> HYPERLINK \l "_Toc132368933" </w:instrText>
          </w:r>
          <w:r>
            <w:fldChar w:fldCharType="separate"/>
          </w:r>
          <w:r>
            <w:rPr>
              <w:rStyle w:val="17"/>
              <w:rFonts w:ascii="黑体" w:hAnsi="黑体" w:eastAsia="黑体"/>
            </w:rPr>
            <w:t>2.1.9 目标市场</w:t>
          </w:r>
          <w:r>
            <w:tab/>
          </w:r>
          <w:r>
            <w:fldChar w:fldCharType="begin"/>
          </w:r>
          <w:r>
            <w:instrText xml:space="preserve"> PAGEREF _Toc132368933 \h </w:instrText>
          </w:r>
          <w:r>
            <w:fldChar w:fldCharType="separate"/>
          </w:r>
          <w:r>
            <w:t>13</w:t>
          </w:r>
          <w:r>
            <w:fldChar w:fldCharType="end"/>
          </w:r>
          <w:r>
            <w:fldChar w:fldCharType="end"/>
          </w:r>
        </w:p>
        <w:p>
          <w:pPr>
            <w:pStyle w:val="7"/>
            <w:tabs>
              <w:tab w:val="right" w:leader="dot" w:pos="8296"/>
            </w:tabs>
            <w:rPr>
              <w:szCs w:val="22"/>
            </w:rPr>
          </w:pPr>
          <w:r>
            <w:fldChar w:fldCharType="begin"/>
          </w:r>
          <w:r>
            <w:instrText xml:space="preserve"> HYPERLINK \l "_Toc132368934" </w:instrText>
          </w:r>
          <w:r>
            <w:fldChar w:fldCharType="separate"/>
          </w:r>
          <w:r>
            <w:rPr>
              <w:rStyle w:val="17"/>
              <w:rFonts w:ascii="黑体" w:hAnsi="黑体" w:eastAsia="黑体"/>
            </w:rPr>
            <w:t>2.1.10 技术研发方向</w:t>
          </w:r>
          <w:r>
            <w:tab/>
          </w:r>
          <w:r>
            <w:fldChar w:fldCharType="begin"/>
          </w:r>
          <w:r>
            <w:instrText xml:space="preserve"> PAGEREF _Toc132368934 \h </w:instrText>
          </w:r>
          <w:r>
            <w:fldChar w:fldCharType="separate"/>
          </w:r>
          <w:r>
            <w:t>13</w:t>
          </w:r>
          <w:r>
            <w:fldChar w:fldCharType="end"/>
          </w:r>
          <w:r>
            <w:fldChar w:fldCharType="end"/>
          </w:r>
        </w:p>
        <w:p>
          <w:pPr>
            <w:pStyle w:val="11"/>
            <w:tabs>
              <w:tab w:val="right" w:leader="dot" w:pos="8296"/>
            </w:tabs>
            <w:rPr>
              <w:szCs w:val="22"/>
            </w:rPr>
          </w:pPr>
          <w:r>
            <w:fldChar w:fldCharType="begin"/>
          </w:r>
          <w:r>
            <w:instrText xml:space="preserve"> HYPERLINK \l "_Toc132368935" </w:instrText>
          </w:r>
          <w:r>
            <w:fldChar w:fldCharType="separate"/>
          </w:r>
          <w:r>
            <w:rPr>
              <w:rStyle w:val="17"/>
              <w:rFonts w:ascii="黑体" w:hAnsi="黑体" w:eastAsia="黑体"/>
            </w:rPr>
            <w:t>3 公司战略</w:t>
          </w:r>
          <w:r>
            <w:tab/>
          </w:r>
          <w:r>
            <w:fldChar w:fldCharType="begin"/>
          </w:r>
          <w:r>
            <w:instrText xml:space="preserve"> PAGEREF _Toc132368935 \h </w:instrText>
          </w:r>
          <w:r>
            <w:fldChar w:fldCharType="separate"/>
          </w:r>
          <w:r>
            <w:t>14</w:t>
          </w:r>
          <w:r>
            <w:fldChar w:fldCharType="end"/>
          </w:r>
          <w:r>
            <w:fldChar w:fldCharType="end"/>
          </w:r>
        </w:p>
        <w:p>
          <w:pPr>
            <w:pStyle w:val="12"/>
            <w:tabs>
              <w:tab w:val="left" w:pos="1050"/>
              <w:tab w:val="right" w:leader="dot" w:pos="8296"/>
            </w:tabs>
            <w:rPr>
              <w:szCs w:val="22"/>
            </w:rPr>
          </w:pPr>
          <w:r>
            <w:fldChar w:fldCharType="begin"/>
          </w:r>
          <w:r>
            <w:instrText xml:space="preserve"> HYPERLINK \l "_Toc132368936" </w:instrText>
          </w:r>
          <w:r>
            <w:fldChar w:fldCharType="separate"/>
          </w:r>
          <w:r>
            <w:rPr>
              <w:rStyle w:val="17"/>
            </w:rPr>
            <w:t>3.1</w:t>
          </w:r>
          <w:r>
            <w:rPr>
              <w:szCs w:val="22"/>
            </w:rPr>
            <w:tab/>
          </w:r>
          <w:r>
            <w:rPr>
              <w:rStyle w:val="17"/>
              <w:rFonts w:ascii="黑体" w:hAnsi="黑体" w:eastAsia="黑体"/>
            </w:rPr>
            <w:t>产品定位</w:t>
          </w:r>
          <w:r>
            <w:tab/>
          </w:r>
          <w:r>
            <w:fldChar w:fldCharType="begin"/>
          </w:r>
          <w:r>
            <w:instrText xml:space="preserve"> PAGEREF _Toc132368936 \h </w:instrText>
          </w:r>
          <w:r>
            <w:fldChar w:fldCharType="separate"/>
          </w:r>
          <w:r>
            <w:t>14</w:t>
          </w:r>
          <w:r>
            <w:fldChar w:fldCharType="end"/>
          </w:r>
          <w:r>
            <w:fldChar w:fldCharType="end"/>
          </w:r>
        </w:p>
        <w:p>
          <w:pPr>
            <w:pStyle w:val="12"/>
            <w:tabs>
              <w:tab w:val="left" w:pos="1050"/>
              <w:tab w:val="right" w:leader="dot" w:pos="8296"/>
            </w:tabs>
            <w:rPr>
              <w:szCs w:val="22"/>
            </w:rPr>
          </w:pPr>
          <w:r>
            <w:fldChar w:fldCharType="begin"/>
          </w:r>
          <w:r>
            <w:instrText xml:space="preserve"> HYPERLINK \l "_Toc132368937" </w:instrText>
          </w:r>
          <w:r>
            <w:fldChar w:fldCharType="separate"/>
          </w:r>
          <w:r>
            <w:rPr>
              <w:rStyle w:val="17"/>
            </w:rPr>
            <w:t>3.2</w:t>
          </w:r>
          <w:r>
            <w:rPr>
              <w:szCs w:val="22"/>
            </w:rPr>
            <w:tab/>
          </w:r>
          <w:r>
            <w:rPr>
              <w:rStyle w:val="17"/>
              <w:rFonts w:ascii="黑体" w:hAnsi="黑体" w:eastAsia="黑体"/>
            </w:rPr>
            <w:t>发展战略</w:t>
          </w:r>
          <w:r>
            <w:tab/>
          </w:r>
          <w:r>
            <w:fldChar w:fldCharType="begin"/>
          </w:r>
          <w:r>
            <w:instrText xml:space="preserve"> PAGEREF _Toc132368937 \h </w:instrText>
          </w:r>
          <w:r>
            <w:fldChar w:fldCharType="separate"/>
          </w:r>
          <w:r>
            <w:t>14</w:t>
          </w:r>
          <w:r>
            <w:fldChar w:fldCharType="end"/>
          </w:r>
          <w:r>
            <w:fldChar w:fldCharType="end"/>
          </w:r>
        </w:p>
        <w:p>
          <w:pPr>
            <w:pStyle w:val="12"/>
            <w:tabs>
              <w:tab w:val="left" w:pos="1050"/>
              <w:tab w:val="right" w:leader="dot" w:pos="8296"/>
            </w:tabs>
            <w:rPr>
              <w:szCs w:val="22"/>
            </w:rPr>
          </w:pPr>
          <w:r>
            <w:fldChar w:fldCharType="begin"/>
          </w:r>
          <w:r>
            <w:instrText xml:space="preserve"> HYPERLINK \l "_Toc132368938" </w:instrText>
          </w:r>
          <w:r>
            <w:fldChar w:fldCharType="separate"/>
          </w:r>
          <w:r>
            <w:rPr>
              <w:rStyle w:val="17"/>
            </w:rPr>
            <w:t>3.3</w:t>
          </w:r>
          <w:r>
            <w:rPr>
              <w:szCs w:val="22"/>
            </w:rPr>
            <w:tab/>
          </w:r>
          <w:r>
            <w:rPr>
              <w:rStyle w:val="17"/>
              <w:rFonts w:ascii="黑体" w:hAnsi="黑体" w:eastAsia="黑体"/>
            </w:rPr>
            <w:t>品牌建设</w:t>
          </w:r>
          <w:r>
            <w:tab/>
          </w:r>
          <w:r>
            <w:fldChar w:fldCharType="begin"/>
          </w:r>
          <w:r>
            <w:instrText xml:space="preserve"> PAGEREF _Toc132368938 \h </w:instrText>
          </w:r>
          <w:r>
            <w:fldChar w:fldCharType="separate"/>
          </w:r>
          <w:r>
            <w:t>14</w:t>
          </w:r>
          <w:r>
            <w:fldChar w:fldCharType="end"/>
          </w:r>
          <w:r>
            <w:fldChar w:fldCharType="end"/>
          </w:r>
        </w:p>
        <w:p>
          <w:pPr>
            <w:pStyle w:val="12"/>
            <w:tabs>
              <w:tab w:val="right" w:leader="dot" w:pos="8296"/>
            </w:tabs>
            <w:rPr>
              <w:szCs w:val="22"/>
            </w:rPr>
          </w:pPr>
          <w:r>
            <w:fldChar w:fldCharType="begin"/>
          </w:r>
          <w:r>
            <w:instrText xml:space="preserve"> HYPERLINK \l "_Toc132368939" </w:instrText>
          </w:r>
          <w:r>
            <w:fldChar w:fldCharType="separate"/>
          </w:r>
          <w:r>
            <w:rPr>
              <w:rStyle w:val="17"/>
              <w:rFonts w:ascii="黑体" w:hAnsi="黑体"/>
              <w:bCs/>
            </w:rPr>
            <w:t>3.4  人才战略</w:t>
          </w:r>
          <w:r>
            <w:tab/>
          </w:r>
          <w:r>
            <w:fldChar w:fldCharType="begin"/>
          </w:r>
          <w:r>
            <w:instrText xml:space="preserve"> PAGEREF _Toc132368939 \h </w:instrText>
          </w:r>
          <w:r>
            <w:fldChar w:fldCharType="separate"/>
          </w:r>
          <w:r>
            <w:t>14</w:t>
          </w:r>
          <w:r>
            <w:fldChar w:fldCharType="end"/>
          </w:r>
          <w:r>
            <w:fldChar w:fldCharType="end"/>
          </w:r>
        </w:p>
        <w:p>
          <w:pPr>
            <w:pStyle w:val="12"/>
            <w:tabs>
              <w:tab w:val="right" w:leader="dot" w:pos="8296"/>
            </w:tabs>
            <w:rPr>
              <w:szCs w:val="22"/>
            </w:rPr>
          </w:pPr>
          <w:r>
            <w:fldChar w:fldCharType="begin"/>
          </w:r>
          <w:r>
            <w:instrText xml:space="preserve"> HYPERLINK \l "_Toc132368940" </w:instrText>
          </w:r>
          <w:r>
            <w:fldChar w:fldCharType="separate"/>
          </w:r>
          <w:r>
            <w:rPr>
              <w:rStyle w:val="17"/>
              <w:rFonts w:ascii="黑体" w:hAnsi="黑体"/>
              <w:bCs/>
            </w:rPr>
            <w:t>3.5  技术开发战略</w:t>
          </w:r>
          <w:r>
            <w:tab/>
          </w:r>
          <w:r>
            <w:fldChar w:fldCharType="begin"/>
          </w:r>
          <w:r>
            <w:instrText xml:space="preserve"> PAGEREF _Toc132368940 \h </w:instrText>
          </w:r>
          <w:r>
            <w:fldChar w:fldCharType="separate"/>
          </w:r>
          <w:r>
            <w:t>16</w:t>
          </w:r>
          <w:r>
            <w:fldChar w:fldCharType="end"/>
          </w:r>
          <w:r>
            <w:fldChar w:fldCharType="end"/>
          </w:r>
        </w:p>
        <w:p>
          <w:pPr>
            <w:pStyle w:val="11"/>
            <w:tabs>
              <w:tab w:val="right" w:leader="dot" w:pos="8296"/>
            </w:tabs>
            <w:rPr>
              <w:szCs w:val="22"/>
            </w:rPr>
          </w:pPr>
          <w:r>
            <w:fldChar w:fldCharType="begin"/>
          </w:r>
          <w:r>
            <w:instrText xml:space="preserve"> HYPERLINK \l "_Toc132368941" </w:instrText>
          </w:r>
          <w:r>
            <w:fldChar w:fldCharType="separate"/>
          </w:r>
          <w:r>
            <w:rPr>
              <w:rStyle w:val="17"/>
              <w:rFonts w:ascii="黑体" w:hAnsi="黑体" w:eastAsia="黑体"/>
            </w:rPr>
            <w:t>4 市行营销</w:t>
          </w:r>
          <w:r>
            <w:tab/>
          </w:r>
          <w:r>
            <w:fldChar w:fldCharType="begin"/>
          </w:r>
          <w:r>
            <w:instrText xml:space="preserve"> PAGEREF _Toc132368941 \h </w:instrText>
          </w:r>
          <w:r>
            <w:fldChar w:fldCharType="separate"/>
          </w:r>
          <w:r>
            <w:t>16</w:t>
          </w:r>
          <w:r>
            <w:fldChar w:fldCharType="end"/>
          </w:r>
          <w:r>
            <w:fldChar w:fldCharType="end"/>
          </w:r>
        </w:p>
        <w:p>
          <w:pPr>
            <w:pStyle w:val="12"/>
            <w:tabs>
              <w:tab w:val="right" w:leader="dot" w:pos="8296"/>
            </w:tabs>
            <w:rPr>
              <w:szCs w:val="22"/>
            </w:rPr>
          </w:pPr>
          <w:r>
            <w:fldChar w:fldCharType="begin"/>
          </w:r>
          <w:r>
            <w:instrText xml:space="preserve"> HYPERLINK \l "_Toc132368942" </w:instrText>
          </w:r>
          <w:r>
            <w:fldChar w:fldCharType="separate"/>
          </w:r>
          <w:r>
            <w:rPr>
              <w:rStyle w:val="17"/>
              <w:rFonts w:ascii="黑体" w:hAnsi="黑体"/>
              <w:bCs/>
            </w:rPr>
            <w:t>4.1 市场定位</w:t>
          </w:r>
          <w:r>
            <w:tab/>
          </w:r>
          <w:r>
            <w:fldChar w:fldCharType="begin"/>
          </w:r>
          <w:r>
            <w:instrText xml:space="preserve"> PAGEREF _Toc132368942 \h </w:instrText>
          </w:r>
          <w:r>
            <w:fldChar w:fldCharType="separate"/>
          </w:r>
          <w:r>
            <w:t>16</w:t>
          </w:r>
          <w:r>
            <w:fldChar w:fldCharType="end"/>
          </w:r>
          <w:r>
            <w:fldChar w:fldCharType="end"/>
          </w:r>
        </w:p>
        <w:p>
          <w:pPr>
            <w:pStyle w:val="12"/>
            <w:tabs>
              <w:tab w:val="right" w:leader="dot" w:pos="8296"/>
            </w:tabs>
            <w:rPr>
              <w:szCs w:val="22"/>
            </w:rPr>
          </w:pPr>
          <w:r>
            <w:fldChar w:fldCharType="begin"/>
          </w:r>
          <w:r>
            <w:instrText xml:space="preserve"> HYPERLINK \l "_Toc132368943" </w:instrText>
          </w:r>
          <w:r>
            <w:fldChar w:fldCharType="separate"/>
          </w:r>
          <w:r>
            <w:rPr>
              <w:rStyle w:val="17"/>
              <w:rFonts w:ascii="黑体" w:hAnsi="黑体"/>
              <w:bCs/>
            </w:rPr>
            <w:t>4.2 宣传推广</w:t>
          </w:r>
          <w:r>
            <w:tab/>
          </w:r>
          <w:r>
            <w:fldChar w:fldCharType="begin"/>
          </w:r>
          <w:r>
            <w:instrText xml:space="preserve"> PAGEREF _Toc132368943 \h </w:instrText>
          </w:r>
          <w:r>
            <w:fldChar w:fldCharType="separate"/>
          </w:r>
          <w:r>
            <w:t>16</w:t>
          </w:r>
          <w:r>
            <w:fldChar w:fldCharType="end"/>
          </w:r>
          <w:r>
            <w:fldChar w:fldCharType="end"/>
          </w:r>
        </w:p>
        <w:p>
          <w:pPr>
            <w:pStyle w:val="7"/>
            <w:tabs>
              <w:tab w:val="left" w:pos="1680"/>
              <w:tab w:val="right" w:leader="dot" w:pos="8296"/>
            </w:tabs>
            <w:rPr>
              <w:szCs w:val="22"/>
            </w:rPr>
          </w:pPr>
          <w:r>
            <w:fldChar w:fldCharType="begin"/>
          </w:r>
          <w:r>
            <w:instrText xml:space="preserve"> HYPERLINK \l "_Toc132368944" </w:instrText>
          </w:r>
          <w:r>
            <w:fldChar w:fldCharType="separate"/>
          </w:r>
          <w:r>
            <w:rPr>
              <w:rStyle w:val="17"/>
              <w:rFonts w:ascii="黑体" w:hAnsi="黑体" w:eastAsia="黑体"/>
            </w:rPr>
            <w:t>4.2.1</w:t>
          </w:r>
          <w:r>
            <w:rPr>
              <w:szCs w:val="22"/>
            </w:rPr>
            <w:tab/>
          </w:r>
          <w:r>
            <w:rPr>
              <w:rStyle w:val="17"/>
              <w:rFonts w:ascii="黑体" w:hAnsi="黑体" w:eastAsia="黑体"/>
            </w:rPr>
            <w:t>体验营销</w:t>
          </w:r>
          <w:r>
            <w:tab/>
          </w:r>
          <w:r>
            <w:fldChar w:fldCharType="begin"/>
          </w:r>
          <w:r>
            <w:instrText xml:space="preserve"> PAGEREF _Toc132368944 \h </w:instrText>
          </w:r>
          <w:r>
            <w:fldChar w:fldCharType="separate"/>
          </w:r>
          <w:r>
            <w:t>16</w:t>
          </w:r>
          <w:r>
            <w:fldChar w:fldCharType="end"/>
          </w:r>
          <w:r>
            <w:fldChar w:fldCharType="end"/>
          </w:r>
        </w:p>
        <w:p>
          <w:pPr>
            <w:pStyle w:val="7"/>
            <w:tabs>
              <w:tab w:val="left" w:pos="1680"/>
              <w:tab w:val="right" w:leader="dot" w:pos="8296"/>
            </w:tabs>
            <w:rPr>
              <w:szCs w:val="22"/>
            </w:rPr>
          </w:pPr>
          <w:r>
            <w:fldChar w:fldCharType="begin"/>
          </w:r>
          <w:r>
            <w:instrText xml:space="preserve"> HYPERLINK \l "_Toc132368945" </w:instrText>
          </w:r>
          <w:r>
            <w:fldChar w:fldCharType="separate"/>
          </w:r>
          <w:r>
            <w:rPr>
              <w:rStyle w:val="17"/>
              <w:rFonts w:ascii="黑体" w:hAnsi="黑体" w:eastAsia="黑体"/>
            </w:rPr>
            <w:t>4.2.2</w:t>
          </w:r>
          <w:r>
            <w:rPr>
              <w:szCs w:val="22"/>
            </w:rPr>
            <w:tab/>
          </w:r>
          <w:r>
            <w:rPr>
              <w:rStyle w:val="17"/>
              <w:rFonts w:ascii="黑体" w:hAnsi="黑体" w:eastAsia="黑体"/>
            </w:rPr>
            <w:t>线上营销</w:t>
          </w:r>
          <w:r>
            <w:tab/>
          </w:r>
          <w:r>
            <w:fldChar w:fldCharType="begin"/>
          </w:r>
          <w:r>
            <w:instrText xml:space="preserve"> PAGEREF _Toc132368945 \h </w:instrText>
          </w:r>
          <w:r>
            <w:fldChar w:fldCharType="separate"/>
          </w:r>
          <w:r>
            <w:t>16</w:t>
          </w:r>
          <w:r>
            <w:fldChar w:fldCharType="end"/>
          </w:r>
          <w:r>
            <w:fldChar w:fldCharType="end"/>
          </w:r>
        </w:p>
        <w:p>
          <w:pPr>
            <w:pStyle w:val="7"/>
            <w:tabs>
              <w:tab w:val="left" w:pos="1680"/>
              <w:tab w:val="right" w:leader="dot" w:pos="8296"/>
            </w:tabs>
            <w:rPr>
              <w:szCs w:val="22"/>
            </w:rPr>
          </w:pPr>
          <w:r>
            <w:fldChar w:fldCharType="begin"/>
          </w:r>
          <w:r>
            <w:instrText xml:space="preserve"> HYPERLINK \l "_Toc132368946" </w:instrText>
          </w:r>
          <w:r>
            <w:fldChar w:fldCharType="separate"/>
          </w:r>
          <w:r>
            <w:rPr>
              <w:rStyle w:val="17"/>
              <w:rFonts w:ascii="黑体" w:hAnsi="黑体" w:eastAsia="黑体"/>
            </w:rPr>
            <w:t>4.2.3</w:t>
          </w:r>
          <w:r>
            <w:rPr>
              <w:szCs w:val="22"/>
            </w:rPr>
            <w:tab/>
          </w:r>
          <w:r>
            <w:rPr>
              <w:rStyle w:val="17"/>
              <w:rFonts w:ascii="黑体" w:hAnsi="黑体" w:eastAsia="黑体"/>
            </w:rPr>
            <w:t>价格策略</w:t>
          </w:r>
          <w:r>
            <w:tab/>
          </w:r>
          <w:r>
            <w:fldChar w:fldCharType="begin"/>
          </w:r>
          <w:r>
            <w:instrText xml:space="preserve"> PAGEREF _Toc132368946 \h </w:instrText>
          </w:r>
          <w:r>
            <w:fldChar w:fldCharType="separate"/>
          </w:r>
          <w:r>
            <w:t>17</w:t>
          </w:r>
          <w:r>
            <w:fldChar w:fldCharType="end"/>
          </w:r>
          <w:r>
            <w:fldChar w:fldCharType="end"/>
          </w:r>
        </w:p>
        <w:p>
          <w:pPr>
            <w:pStyle w:val="11"/>
            <w:tabs>
              <w:tab w:val="right" w:leader="dot" w:pos="8296"/>
            </w:tabs>
            <w:rPr>
              <w:szCs w:val="22"/>
            </w:rPr>
          </w:pPr>
          <w:r>
            <w:fldChar w:fldCharType="begin"/>
          </w:r>
          <w:r>
            <w:instrText xml:space="preserve"> HYPERLINK \l "_Toc132368947" </w:instrText>
          </w:r>
          <w:r>
            <w:fldChar w:fldCharType="separate"/>
          </w:r>
          <w:r>
            <w:rPr>
              <w:rStyle w:val="17"/>
              <w:rFonts w:ascii="黑体" w:hAnsi="黑体" w:eastAsia="黑体"/>
            </w:rPr>
            <w:t>5 财务分析</w:t>
          </w:r>
          <w:r>
            <w:tab/>
          </w:r>
          <w:r>
            <w:fldChar w:fldCharType="begin"/>
          </w:r>
          <w:r>
            <w:instrText xml:space="preserve"> PAGEREF _Toc132368947 \h </w:instrText>
          </w:r>
          <w:r>
            <w:fldChar w:fldCharType="separate"/>
          </w:r>
          <w:r>
            <w:t>17</w:t>
          </w:r>
          <w:r>
            <w:fldChar w:fldCharType="end"/>
          </w:r>
          <w:r>
            <w:fldChar w:fldCharType="end"/>
          </w:r>
        </w:p>
        <w:p>
          <w:pPr>
            <w:pStyle w:val="12"/>
            <w:tabs>
              <w:tab w:val="right" w:leader="dot" w:pos="8296"/>
            </w:tabs>
            <w:rPr>
              <w:szCs w:val="22"/>
            </w:rPr>
          </w:pPr>
          <w:r>
            <w:fldChar w:fldCharType="begin"/>
          </w:r>
          <w:r>
            <w:instrText xml:space="preserve"> HYPERLINK \l "_Toc132368948" </w:instrText>
          </w:r>
          <w:r>
            <w:fldChar w:fldCharType="separate"/>
          </w:r>
          <w:r>
            <w:rPr>
              <w:rStyle w:val="17"/>
              <w:rFonts w:ascii="黑体" w:hAnsi="黑体"/>
              <w:bCs/>
            </w:rPr>
            <w:t>5.1运营成本和费用估计</w:t>
          </w:r>
          <w:r>
            <w:tab/>
          </w:r>
          <w:r>
            <w:fldChar w:fldCharType="begin"/>
          </w:r>
          <w:r>
            <w:instrText xml:space="preserve"> PAGEREF _Toc132368948 \h </w:instrText>
          </w:r>
          <w:r>
            <w:fldChar w:fldCharType="separate"/>
          </w:r>
          <w:r>
            <w:t>17</w:t>
          </w:r>
          <w:r>
            <w:fldChar w:fldCharType="end"/>
          </w:r>
          <w:r>
            <w:fldChar w:fldCharType="end"/>
          </w:r>
        </w:p>
        <w:p>
          <w:pPr>
            <w:pStyle w:val="7"/>
            <w:tabs>
              <w:tab w:val="right" w:leader="dot" w:pos="8296"/>
            </w:tabs>
            <w:rPr>
              <w:szCs w:val="22"/>
            </w:rPr>
          </w:pPr>
          <w:r>
            <w:fldChar w:fldCharType="begin"/>
          </w:r>
          <w:r>
            <w:instrText xml:space="preserve"> HYPERLINK \l "_Toc132368949" </w:instrText>
          </w:r>
          <w:r>
            <w:fldChar w:fldCharType="separate"/>
          </w:r>
          <w:r>
            <w:rPr>
              <w:rStyle w:val="17"/>
              <w:rFonts w:ascii="黑体" w:hAnsi="黑体" w:eastAsia="黑体"/>
            </w:rPr>
            <w:t>5.1.1公司财务运营基本会计假设</w:t>
          </w:r>
          <w:r>
            <w:tab/>
          </w:r>
          <w:r>
            <w:fldChar w:fldCharType="begin"/>
          </w:r>
          <w:r>
            <w:instrText xml:space="preserve"> PAGEREF _Toc132368949 \h </w:instrText>
          </w:r>
          <w:r>
            <w:fldChar w:fldCharType="separate"/>
          </w:r>
          <w:r>
            <w:t>17</w:t>
          </w:r>
          <w:r>
            <w:fldChar w:fldCharType="end"/>
          </w:r>
          <w:r>
            <w:fldChar w:fldCharType="end"/>
          </w:r>
        </w:p>
        <w:p>
          <w:pPr>
            <w:pStyle w:val="7"/>
            <w:tabs>
              <w:tab w:val="right" w:leader="dot" w:pos="8296"/>
            </w:tabs>
            <w:rPr>
              <w:szCs w:val="22"/>
            </w:rPr>
          </w:pPr>
          <w:r>
            <w:fldChar w:fldCharType="begin"/>
          </w:r>
          <w:r>
            <w:instrText xml:space="preserve"> HYPERLINK \l "_Toc132368950" </w:instrText>
          </w:r>
          <w:r>
            <w:fldChar w:fldCharType="separate"/>
          </w:r>
          <w:r>
            <w:rPr>
              <w:rStyle w:val="17"/>
              <w:rFonts w:ascii="黑体" w:hAnsi="黑体" w:eastAsia="黑体"/>
            </w:rPr>
            <w:t>5.1.2运营成本和费用估计依据说明</w:t>
          </w:r>
          <w:r>
            <w:tab/>
          </w:r>
          <w:r>
            <w:fldChar w:fldCharType="begin"/>
          </w:r>
          <w:r>
            <w:instrText xml:space="preserve"> PAGEREF _Toc132368950 \h </w:instrText>
          </w:r>
          <w:r>
            <w:fldChar w:fldCharType="separate"/>
          </w:r>
          <w:r>
            <w:t>17</w:t>
          </w:r>
          <w:r>
            <w:fldChar w:fldCharType="end"/>
          </w:r>
          <w:r>
            <w:fldChar w:fldCharType="end"/>
          </w:r>
        </w:p>
        <w:p>
          <w:pPr>
            <w:pStyle w:val="7"/>
            <w:tabs>
              <w:tab w:val="right" w:leader="dot" w:pos="8296"/>
            </w:tabs>
            <w:rPr>
              <w:szCs w:val="22"/>
            </w:rPr>
          </w:pPr>
          <w:r>
            <w:fldChar w:fldCharType="begin"/>
          </w:r>
          <w:r>
            <w:instrText xml:space="preserve"> HYPERLINK \l "_Toc132368951" </w:instrText>
          </w:r>
          <w:r>
            <w:fldChar w:fldCharType="separate"/>
          </w:r>
          <w:r>
            <w:rPr>
              <w:rStyle w:val="17"/>
              <w:rFonts w:ascii="黑体" w:hAnsi="黑体" w:eastAsia="黑体"/>
            </w:rPr>
            <w:t>5.1.3总成本费用表</w:t>
          </w:r>
          <w:r>
            <w:tab/>
          </w:r>
          <w:r>
            <w:fldChar w:fldCharType="begin"/>
          </w:r>
          <w:r>
            <w:instrText xml:space="preserve"> PAGEREF _Toc132368951 \h </w:instrText>
          </w:r>
          <w:r>
            <w:fldChar w:fldCharType="separate"/>
          </w:r>
          <w:r>
            <w:t>18</w:t>
          </w:r>
          <w:r>
            <w:fldChar w:fldCharType="end"/>
          </w:r>
          <w:r>
            <w:fldChar w:fldCharType="end"/>
          </w:r>
        </w:p>
        <w:p>
          <w:pPr>
            <w:pStyle w:val="12"/>
            <w:tabs>
              <w:tab w:val="right" w:leader="dot" w:pos="8296"/>
            </w:tabs>
            <w:rPr>
              <w:szCs w:val="22"/>
            </w:rPr>
          </w:pPr>
          <w:r>
            <w:fldChar w:fldCharType="begin"/>
          </w:r>
          <w:r>
            <w:instrText xml:space="preserve"> HYPERLINK \l "_Toc132368952" </w:instrText>
          </w:r>
          <w:r>
            <w:fldChar w:fldCharType="separate"/>
          </w:r>
          <w:r>
            <w:rPr>
              <w:rStyle w:val="17"/>
              <w:rFonts w:ascii="黑体" w:hAnsi="黑体"/>
              <w:bCs/>
            </w:rPr>
            <w:t>5.2利润估计</w:t>
          </w:r>
          <w:r>
            <w:tab/>
          </w:r>
          <w:r>
            <w:fldChar w:fldCharType="begin"/>
          </w:r>
          <w:r>
            <w:instrText xml:space="preserve"> PAGEREF _Toc132368952 \h </w:instrText>
          </w:r>
          <w:r>
            <w:fldChar w:fldCharType="separate"/>
          </w:r>
          <w:r>
            <w:t>19</w:t>
          </w:r>
          <w:r>
            <w:fldChar w:fldCharType="end"/>
          </w:r>
          <w:r>
            <w:fldChar w:fldCharType="end"/>
          </w:r>
        </w:p>
        <w:p>
          <w:pPr>
            <w:pStyle w:val="7"/>
            <w:tabs>
              <w:tab w:val="right" w:leader="dot" w:pos="8296"/>
            </w:tabs>
            <w:rPr>
              <w:szCs w:val="22"/>
            </w:rPr>
          </w:pPr>
          <w:r>
            <w:fldChar w:fldCharType="begin"/>
          </w:r>
          <w:r>
            <w:instrText xml:space="preserve"> HYPERLINK \l "_Toc132368953" </w:instrText>
          </w:r>
          <w:r>
            <w:fldChar w:fldCharType="separate"/>
          </w:r>
          <w:r>
            <w:rPr>
              <w:rStyle w:val="17"/>
              <w:rFonts w:ascii="黑体" w:hAnsi="黑体" w:eastAsia="黑体"/>
            </w:rPr>
            <w:t>5.2.1定价分析</w:t>
          </w:r>
          <w:r>
            <w:tab/>
          </w:r>
          <w:r>
            <w:fldChar w:fldCharType="begin"/>
          </w:r>
          <w:r>
            <w:instrText xml:space="preserve"> PAGEREF _Toc132368953 \h </w:instrText>
          </w:r>
          <w:r>
            <w:fldChar w:fldCharType="separate"/>
          </w:r>
          <w:r>
            <w:t>19</w:t>
          </w:r>
          <w:r>
            <w:fldChar w:fldCharType="end"/>
          </w:r>
          <w:r>
            <w:fldChar w:fldCharType="end"/>
          </w:r>
        </w:p>
        <w:p>
          <w:pPr>
            <w:pStyle w:val="7"/>
            <w:tabs>
              <w:tab w:val="right" w:leader="dot" w:pos="8296"/>
            </w:tabs>
            <w:rPr>
              <w:szCs w:val="22"/>
            </w:rPr>
          </w:pPr>
          <w:r>
            <w:fldChar w:fldCharType="begin"/>
          </w:r>
          <w:r>
            <w:instrText xml:space="preserve"> HYPERLINK \l "_Toc132368954" </w:instrText>
          </w:r>
          <w:r>
            <w:fldChar w:fldCharType="separate"/>
          </w:r>
          <w:r>
            <w:rPr>
              <w:rStyle w:val="17"/>
              <w:rFonts w:ascii="黑体" w:hAnsi="黑体" w:eastAsia="黑体"/>
            </w:rPr>
            <w:t>5.2.2利润表</w:t>
          </w:r>
          <w:r>
            <w:tab/>
          </w:r>
          <w:r>
            <w:fldChar w:fldCharType="begin"/>
          </w:r>
          <w:r>
            <w:instrText xml:space="preserve"> PAGEREF _Toc132368954 \h </w:instrText>
          </w:r>
          <w:r>
            <w:fldChar w:fldCharType="separate"/>
          </w:r>
          <w:r>
            <w:t>19</w:t>
          </w:r>
          <w:r>
            <w:fldChar w:fldCharType="end"/>
          </w:r>
          <w:r>
            <w:fldChar w:fldCharType="end"/>
          </w:r>
        </w:p>
        <w:p>
          <w:pPr>
            <w:pStyle w:val="12"/>
            <w:tabs>
              <w:tab w:val="right" w:leader="dot" w:pos="8296"/>
            </w:tabs>
            <w:rPr>
              <w:szCs w:val="22"/>
            </w:rPr>
          </w:pPr>
          <w:r>
            <w:fldChar w:fldCharType="begin"/>
          </w:r>
          <w:r>
            <w:instrText xml:space="preserve"> HYPERLINK \l "_Toc132368955" </w:instrText>
          </w:r>
          <w:r>
            <w:fldChar w:fldCharType="separate"/>
          </w:r>
          <w:r>
            <w:rPr>
              <w:rStyle w:val="17"/>
              <w:rFonts w:ascii="黑体" w:hAnsi="黑体"/>
              <w:bCs/>
            </w:rPr>
            <w:t>5.3公司现金流量表</w:t>
          </w:r>
          <w:r>
            <w:tab/>
          </w:r>
          <w:r>
            <w:fldChar w:fldCharType="begin"/>
          </w:r>
          <w:r>
            <w:instrText xml:space="preserve"> PAGEREF _Toc132368955 \h </w:instrText>
          </w:r>
          <w:r>
            <w:fldChar w:fldCharType="separate"/>
          </w:r>
          <w:r>
            <w:t>20</w:t>
          </w:r>
          <w:r>
            <w:fldChar w:fldCharType="end"/>
          </w:r>
          <w:r>
            <w:fldChar w:fldCharType="end"/>
          </w:r>
        </w:p>
        <w:p>
          <w:pPr>
            <w:pStyle w:val="12"/>
            <w:tabs>
              <w:tab w:val="right" w:leader="dot" w:pos="8296"/>
            </w:tabs>
            <w:rPr>
              <w:szCs w:val="22"/>
            </w:rPr>
          </w:pPr>
          <w:r>
            <w:fldChar w:fldCharType="begin"/>
          </w:r>
          <w:r>
            <w:instrText xml:space="preserve"> HYPERLINK \l "_Toc132368956" </w:instrText>
          </w:r>
          <w:r>
            <w:fldChar w:fldCharType="separate"/>
          </w:r>
          <w:r>
            <w:rPr>
              <w:rStyle w:val="17"/>
              <w:rFonts w:ascii="黑体" w:hAnsi="黑体"/>
              <w:bCs/>
            </w:rPr>
            <w:t>5.4资产负债表</w:t>
          </w:r>
          <w:r>
            <w:tab/>
          </w:r>
          <w:r>
            <w:fldChar w:fldCharType="begin"/>
          </w:r>
          <w:r>
            <w:instrText xml:space="preserve"> PAGEREF _Toc132368956 \h </w:instrText>
          </w:r>
          <w:r>
            <w:fldChar w:fldCharType="separate"/>
          </w:r>
          <w:r>
            <w:t>22</w:t>
          </w:r>
          <w:r>
            <w:fldChar w:fldCharType="end"/>
          </w:r>
          <w:r>
            <w:fldChar w:fldCharType="end"/>
          </w:r>
        </w:p>
        <w:p>
          <w:pPr>
            <w:pStyle w:val="12"/>
            <w:tabs>
              <w:tab w:val="right" w:leader="dot" w:pos="8296"/>
            </w:tabs>
            <w:rPr>
              <w:szCs w:val="22"/>
            </w:rPr>
          </w:pPr>
          <w:r>
            <w:fldChar w:fldCharType="begin"/>
          </w:r>
          <w:r>
            <w:instrText xml:space="preserve"> HYPERLINK \l "_Toc132368957" </w:instrText>
          </w:r>
          <w:r>
            <w:fldChar w:fldCharType="separate"/>
          </w:r>
          <w:r>
            <w:rPr>
              <w:rStyle w:val="17"/>
              <w:rFonts w:ascii="黑体" w:hAnsi="黑体"/>
              <w:bCs/>
            </w:rPr>
            <w:t>5.5财务分析</w:t>
          </w:r>
          <w:r>
            <w:tab/>
          </w:r>
          <w:r>
            <w:fldChar w:fldCharType="begin"/>
          </w:r>
          <w:r>
            <w:instrText xml:space="preserve"> PAGEREF _Toc132368957 \h </w:instrText>
          </w:r>
          <w:r>
            <w:fldChar w:fldCharType="separate"/>
          </w:r>
          <w:r>
            <w:t>24</w:t>
          </w:r>
          <w:r>
            <w:fldChar w:fldCharType="end"/>
          </w:r>
          <w:r>
            <w:fldChar w:fldCharType="end"/>
          </w:r>
        </w:p>
        <w:p>
          <w:pPr>
            <w:pStyle w:val="11"/>
            <w:tabs>
              <w:tab w:val="right" w:leader="dot" w:pos="8296"/>
            </w:tabs>
            <w:rPr>
              <w:szCs w:val="22"/>
            </w:rPr>
          </w:pPr>
          <w:r>
            <w:fldChar w:fldCharType="begin"/>
          </w:r>
          <w:r>
            <w:instrText xml:space="preserve"> HYPERLINK \l "_Toc132368958" </w:instrText>
          </w:r>
          <w:r>
            <w:fldChar w:fldCharType="separate"/>
          </w:r>
          <w:r>
            <w:rPr>
              <w:rStyle w:val="17"/>
              <w:rFonts w:ascii="黑体" w:hAnsi="黑体" w:eastAsia="黑体"/>
            </w:rPr>
            <w:t>6 关键风险与应对策略</w:t>
          </w:r>
          <w:r>
            <w:tab/>
          </w:r>
          <w:r>
            <w:fldChar w:fldCharType="begin"/>
          </w:r>
          <w:r>
            <w:instrText xml:space="preserve"> PAGEREF _Toc132368958 \h </w:instrText>
          </w:r>
          <w:r>
            <w:fldChar w:fldCharType="separate"/>
          </w:r>
          <w:r>
            <w:t>25</w:t>
          </w:r>
          <w:r>
            <w:fldChar w:fldCharType="end"/>
          </w:r>
          <w:r>
            <w:fldChar w:fldCharType="end"/>
          </w:r>
        </w:p>
        <w:p>
          <w:pPr>
            <w:pStyle w:val="12"/>
            <w:tabs>
              <w:tab w:val="right" w:leader="dot" w:pos="8296"/>
            </w:tabs>
            <w:rPr>
              <w:szCs w:val="22"/>
            </w:rPr>
          </w:pPr>
          <w:r>
            <w:fldChar w:fldCharType="begin"/>
          </w:r>
          <w:r>
            <w:instrText xml:space="preserve"> HYPERLINK \l "_Toc132368959" </w:instrText>
          </w:r>
          <w:r>
            <w:fldChar w:fldCharType="separate"/>
          </w:r>
          <w:r>
            <w:rPr>
              <w:rStyle w:val="17"/>
              <w:rFonts w:ascii="黑体" w:hAnsi="黑体" w:cs="宋体"/>
              <w:kern w:val="0"/>
              <w:lang w:bidi="ar"/>
            </w:rPr>
            <w:t>6.1风险评估概述</w:t>
          </w:r>
          <w:r>
            <w:tab/>
          </w:r>
          <w:r>
            <w:fldChar w:fldCharType="begin"/>
          </w:r>
          <w:r>
            <w:instrText xml:space="preserve"> PAGEREF _Toc132368959 \h </w:instrText>
          </w:r>
          <w:r>
            <w:fldChar w:fldCharType="separate"/>
          </w:r>
          <w:r>
            <w:t>25</w:t>
          </w:r>
          <w:r>
            <w:fldChar w:fldCharType="end"/>
          </w:r>
          <w:r>
            <w:fldChar w:fldCharType="end"/>
          </w:r>
        </w:p>
        <w:p>
          <w:pPr>
            <w:pStyle w:val="12"/>
            <w:tabs>
              <w:tab w:val="right" w:leader="dot" w:pos="8296"/>
            </w:tabs>
            <w:rPr>
              <w:szCs w:val="22"/>
            </w:rPr>
          </w:pPr>
          <w:r>
            <w:fldChar w:fldCharType="begin"/>
          </w:r>
          <w:r>
            <w:instrText xml:space="preserve"> HYPERLINK \l "_Toc132368960" </w:instrText>
          </w:r>
          <w:r>
            <w:fldChar w:fldCharType="separate"/>
          </w:r>
          <w:r>
            <w:rPr>
              <w:rStyle w:val="17"/>
              <w:rFonts w:ascii="黑体" w:hAnsi="黑体" w:cstheme="minorEastAsia"/>
              <w:kern w:val="0"/>
              <w:lang w:bidi="ar"/>
            </w:rPr>
            <w:t>6.2 项目风险概述及划分标准</w:t>
          </w:r>
          <w:r>
            <w:tab/>
          </w:r>
          <w:r>
            <w:fldChar w:fldCharType="begin"/>
          </w:r>
          <w:r>
            <w:instrText xml:space="preserve"> PAGEREF _Toc132368960 \h </w:instrText>
          </w:r>
          <w:r>
            <w:fldChar w:fldCharType="separate"/>
          </w:r>
          <w:r>
            <w:t>25</w:t>
          </w:r>
          <w:r>
            <w:fldChar w:fldCharType="end"/>
          </w:r>
          <w:r>
            <w:fldChar w:fldCharType="end"/>
          </w:r>
        </w:p>
        <w:p>
          <w:pPr>
            <w:pStyle w:val="12"/>
            <w:tabs>
              <w:tab w:val="right" w:leader="dot" w:pos="8296"/>
            </w:tabs>
            <w:rPr>
              <w:szCs w:val="22"/>
            </w:rPr>
          </w:pPr>
          <w:r>
            <w:fldChar w:fldCharType="begin"/>
          </w:r>
          <w:r>
            <w:instrText xml:space="preserve"> HYPERLINK \l "_Toc132368961" </w:instrText>
          </w:r>
          <w:r>
            <w:fldChar w:fldCharType="separate"/>
          </w:r>
          <w:r>
            <w:rPr>
              <w:rStyle w:val="17"/>
              <w:rFonts w:ascii="黑体" w:hAnsi="黑体" w:cstheme="minorEastAsia"/>
            </w:rPr>
            <w:t>6.3 具体风险评估及应对策略</w:t>
          </w:r>
          <w:r>
            <w:tab/>
          </w:r>
          <w:r>
            <w:fldChar w:fldCharType="begin"/>
          </w:r>
          <w:r>
            <w:instrText xml:space="preserve"> PAGEREF _Toc132368961 \h </w:instrText>
          </w:r>
          <w:r>
            <w:fldChar w:fldCharType="separate"/>
          </w:r>
          <w:r>
            <w:t>25</w:t>
          </w:r>
          <w:r>
            <w:fldChar w:fldCharType="end"/>
          </w:r>
          <w:r>
            <w:fldChar w:fldCharType="end"/>
          </w:r>
        </w:p>
        <w:p>
          <w:r>
            <w:rPr>
              <w:b/>
              <w:bCs/>
              <w:lang w:val="zh-CN"/>
            </w:rPr>
            <w:fldChar w:fldCharType="end"/>
          </w:r>
        </w:p>
      </w:sdtContent>
    </w:sdt>
    <w:p>
      <w:pPr>
        <w:widowControl/>
        <w:jc w:val="left"/>
      </w:pPr>
    </w:p>
    <w:p>
      <w:pPr>
        <w:widowControl/>
        <w:jc w:val="left"/>
      </w:pPr>
      <w:r>
        <w:br w:type="page"/>
      </w:r>
    </w:p>
    <w:p>
      <w:pPr>
        <w:pStyle w:val="2"/>
        <w:rPr>
          <w:rFonts w:ascii="黑体" w:hAnsi="黑体" w:eastAsia="黑体"/>
          <w:sz w:val="28"/>
          <w:szCs w:val="28"/>
        </w:rPr>
      </w:pPr>
      <w:bookmarkStart w:id="0" w:name="_Toc132368912"/>
      <w:r>
        <w:rPr>
          <w:rFonts w:hint="eastAsia" w:ascii="黑体" w:hAnsi="黑体" w:eastAsia="黑体"/>
          <w:sz w:val="28"/>
          <w:szCs w:val="28"/>
        </w:rPr>
        <w:t>1</w:t>
      </w:r>
      <w:r>
        <w:rPr>
          <w:rFonts w:ascii="黑体" w:hAnsi="黑体" w:eastAsia="黑体"/>
          <w:sz w:val="28"/>
          <w:szCs w:val="28"/>
        </w:rPr>
        <w:t xml:space="preserve"> </w:t>
      </w:r>
      <w:r>
        <w:rPr>
          <w:rFonts w:hint="eastAsia" w:ascii="黑体" w:hAnsi="黑体" w:eastAsia="黑体"/>
          <w:sz w:val="28"/>
          <w:szCs w:val="28"/>
        </w:rPr>
        <w:t>项目简介</w:t>
      </w:r>
      <w:bookmarkEnd w:id="0"/>
    </w:p>
    <w:p>
      <w:pPr>
        <w:pStyle w:val="3"/>
        <w:rPr>
          <w:rFonts w:ascii="黑体" w:hAnsi="黑体"/>
          <w:sz w:val="24"/>
        </w:rPr>
      </w:pPr>
      <w:bookmarkStart w:id="1" w:name="_Toc132368913"/>
      <w:r>
        <w:rPr>
          <w:rFonts w:ascii="黑体" w:hAnsi="黑体"/>
          <w:sz w:val="24"/>
        </w:rPr>
        <w:t>1</w:t>
      </w:r>
      <w:r>
        <w:rPr>
          <w:rFonts w:hint="eastAsia" w:ascii="黑体" w:hAnsi="黑体"/>
          <w:sz w:val="24"/>
        </w:rPr>
        <w:t>.1研发背景</w:t>
      </w:r>
      <w:bookmarkEnd w:id="1"/>
    </w:p>
    <w:p>
      <w:pPr>
        <w:widowControl/>
        <w:ind w:firstLine="420"/>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人体关节承担着连接、承重和实现转动等生理功能，这些生理功能使得关节受到损伤的可能性大大增加。在受到损伤时，关节内部通产会产生积液，积液含量的多少通常可以作为膝关节损伤程度的判定标准之一。人体当中包含着大量的液体成分，当人体关节腔内部中游移的液体含量不在正常生理范围内时，就称作关节积液。造成关节积液的原因主要有：关节内受损和脱臼、半月板破损、滑膜发炎、受伤、前后交叉韧带损伤、骨质增生、副侧韧带损伤、骨刺等。此外，由于关节内的滑膜血液丰盈，血红蛋白丰富，容易受到细菌的感染，滑膜结核等感染性疾病也是关节产生积液的原因之一。研究表明，人体的关节从</w:t>
      </w:r>
      <w:r>
        <w:rPr>
          <w:rFonts w:ascii="宋体" w:hAnsi="宋体" w:eastAsia="宋体" w:cs="宋体"/>
          <w:color w:val="000000"/>
          <w:kern w:val="0"/>
          <w:szCs w:val="21"/>
          <w:lang w:bidi="ar"/>
        </w:rPr>
        <w:t>25</w:t>
      </w:r>
      <w:r>
        <w:rPr>
          <w:rFonts w:hint="eastAsia" w:ascii="宋体" w:hAnsi="宋体" w:eastAsia="宋体" w:cs="宋体"/>
          <w:color w:val="000000"/>
          <w:kern w:val="0"/>
          <w:szCs w:val="21"/>
          <w:lang w:bidi="ar"/>
        </w:rPr>
        <w:t xml:space="preserve">岁以后，功能开始逐渐衰退。近年来，关节积液在中老年人中的发病率逐年提升，然而，许多青少年在运动受到损伤后或长期运动不当造成的慢性损伤时，也会引发膝关节、踝关节积液。 </w:t>
      </w:r>
    </w:p>
    <w:p>
      <w:pPr>
        <w:widowControl/>
        <w:ind w:firstLine="420"/>
        <w:jc w:val="left"/>
        <w:rPr>
          <w:rFonts w:ascii="宋体" w:hAnsi="宋体" w:eastAsia="宋体" w:cs="宋体"/>
          <w:color w:val="000000"/>
          <w:kern w:val="0"/>
          <w:szCs w:val="21"/>
          <w:lang w:bidi="ar"/>
        </w:rPr>
      </w:pPr>
      <w:r>
        <w:rPr>
          <w:rFonts w:ascii="宋体" w:hAnsi="宋体" w:eastAsia="宋体" w:cs="宋体"/>
          <w:color w:val="000000"/>
          <w:kern w:val="0"/>
          <w:szCs w:val="21"/>
          <w:lang w:bidi="ar"/>
        </w:rPr>
        <w:t>2000</w:t>
      </w:r>
      <w:r>
        <w:rPr>
          <w:rFonts w:hint="eastAsia" w:ascii="宋体" w:hAnsi="宋体" w:eastAsia="宋体" w:cs="宋体"/>
          <w:color w:val="000000"/>
          <w:kern w:val="0"/>
          <w:szCs w:val="21"/>
          <w:lang w:bidi="ar"/>
        </w:rPr>
        <w:t>年，圣多美和普林西比地区的研究结果中显示，膝关节疾病的患者中</w:t>
      </w:r>
      <w:r>
        <w:rPr>
          <w:rFonts w:ascii="宋体" w:hAnsi="宋体" w:eastAsia="宋体" w:cs="宋体"/>
          <w:color w:val="000000"/>
          <w:kern w:val="0"/>
          <w:szCs w:val="21"/>
          <w:lang w:bidi="ar"/>
        </w:rPr>
        <w:t>54.5%</w:t>
      </w:r>
      <w:r>
        <w:rPr>
          <w:rFonts w:hint="eastAsia" w:ascii="宋体" w:hAnsi="宋体" w:eastAsia="宋体" w:cs="宋体"/>
          <w:color w:val="000000"/>
          <w:kern w:val="0"/>
          <w:szCs w:val="21"/>
          <w:lang w:bidi="ar"/>
        </w:rPr>
        <w:t>伴有积液的发生。孟加拉地区怀孕妇女中，患有膝关节疾病中存在关节肿胀的有</w:t>
      </w:r>
      <w:r>
        <w:rPr>
          <w:rFonts w:ascii="宋体" w:hAnsi="宋体" w:eastAsia="宋体" w:cs="宋体"/>
          <w:color w:val="000000"/>
          <w:kern w:val="0"/>
          <w:szCs w:val="21"/>
          <w:lang w:bidi="ar"/>
        </w:rPr>
        <w:t>78%</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2008</w:t>
      </w:r>
      <w:r>
        <w:rPr>
          <w:rFonts w:hint="eastAsia" w:ascii="宋体" w:hAnsi="宋体" w:eastAsia="宋体" w:cs="宋体"/>
          <w:color w:val="000000"/>
          <w:kern w:val="0"/>
          <w:szCs w:val="21"/>
          <w:lang w:bidi="ar"/>
        </w:rPr>
        <w:t>年，</w:t>
      </w:r>
      <w:r>
        <w:rPr>
          <w:rFonts w:ascii="宋体" w:hAnsi="宋体" w:eastAsia="宋体" w:cs="宋体"/>
          <w:color w:val="000000"/>
          <w:kern w:val="0"/>
          <w:szCs w:val="21"/>
          <w:lang w:bidi="ar"/>
        </w:rPr>
        <w:t>WHO</w:t>
      </w:r>
      <w:r>
        <w:rPr>
          <w:rFonts w:hint="eastAsia" w:ascii="宋体" w:hAnsi="宋体" w:eastAsia="宋体" w:cs="宋体"/>
          <w:color w:val="000000"/>
          <w:kern w:val="0"/>
          <w:szCs w:val="21"/>
          <w:lang w:bidi="ar"/>
        </w:rPr>
        <w:t>的统计显示，美国</w:t>
      </w:r>
      <w:r>
        <w:rPr>
          <w:rFonts w:ascii="宋体" w:hAnsi="宋体" w:eastAsia="宋体" w:cs="宋体"/>
          <w:color w:val="000000"/>
          <w:kern w:val="0"/>
          <w:szCs w:val="21"/>
          <w:lang w:bidi="ar"/>
        </w:rPr>
        <w:t>70</w:t>
      </w:r>
      <w:r>
        <w:rPr>
          <w:rFonts w:hint="eastAsia" w:ascii="宋体" w:hAnsi="宋体" w:eastAsia="宋体" w:cs="宋体"/>
          <w:color w:val="000000"/>
          <w:kern w:val="0"/>
          <w:szCs w:val="21"/>
          <w:lang w:bidi="ar"/>
        </w:rPr>
        <w:t>岁上的实验对象中，膝关节积液发病率已经接近于心脑血管疾病的发病率，达到了</w:t>
      </w:r>
      <w:r>
        <w:rPr>
          <w:rFonts w:ascii="宋体" w:hAnsi="宋体" w:eastAsia="宋体" w:cs="宋体"/>
          <w:color w:val="000000"/>
          <w:kern w:val="0"/>
          <w:szCs w:val="21"/>
          <w:lang w:bidi="ar"/>
        </w:rPr>
        <w:t>70%</w:t>
      </w:r>
      <w:r>
        <w:rPr>
          <w:rFonts w:hint="eastAsia" w:ascii="宋体" w:hAnsi="宋体" w:eastAsia="宋体" w:cs="宋体"/>
          <w:color w:val="000000"/>
          <w:kern w:val="0"/>
          <w:szCs w:val="21"/>
          <w:lang w:bidi="ar"/>
        </w:rPr>
        <w:t>。在我国，膝关节积液也有着很高的发病率。</w:t>
      </w:r>
      <w:r>
        <w:rPr>
          <w:rFonts w:ascii="宋体" w:hAnsi="宋体" w:eastAsia="宋体" w:cs="宋体"/>
          <w:color w:val="000000"/>
          <w:kern w:val="0"/>
          <w:szCs w:val="21"/>
          <w:lang w:bidi="ar"/>
        </w:rPr>
        <w:t>1999</w:t>
      </w:r>
      <w:r>
        <w:rPr>
          <w:rFonts w:hint="eastAsia" w:ascii="宋体" w:hAnsi="宋体" w:eastAsia="宋体" w:cs="宋体"/>
          <w:color w:val="000000"/>
          <w:kern w:val="0"/>
          <w:szCs w:val="21"/>
          <w:lang w:bidi="ar"/>
        </w:rPr>
        <w:t>年，哈尔滨医院的调查研究中发现，在受调查的</w:t>
      </w:r>
      <w:r>
        <w:rPr>
          <w:rFonts w:ascii="宋体" w:hAnsi="宋体" w:eastAsia="宋体" w:cs="宋体"/>
          <w:color w:val="000000"/>
          <w:kern w:val="0"/>
          <w:szCs w:val="21"/>
          <w:lang w:bidi="ar"/>
        </w:rPr>
        <w:t>216</w:t>
      </w:r>
      <w:r>
        <w:rPr>
          <w:rFonts w:hint="eastAsia" w:ascii="宋体" w:hAnsi="宋体" w:eastAsia="宋体" w:cs="宋体"/>
          <w:color w:val="000000"/>
          <w:kern w:val="0"/>
          <w:szCs w:val="21"/>
          <w:lang w:bidi="ar"/>
        </w:rPr>
        <w:t>例患者中，类风湿性滑膜炎的患者占</w:t>
      </w:r>
      <w:r>
        <w:rPr>
          <w:rFonts w:ascii="宋体" w:hAnsi="宋体" w:eastAsia="宋体" w:cs="宋体"/>
          <w:color w:val="000000"/>
          <w:kern w:val="0"/>
          <w:szCs w:val="21"/>
          <w:lang w:bidi="ar"/>
        </w:rPr>
        <w:t>35.6%</w:t>
      </w:r>
      <w:r>
        <w:rPr>
          <w:rFonts w:hint="eastAsia" w:ascii="宋体" w:hAnsi="宋体" w:eastAsia="宋体" w:cs="宋体"/>
          <w:color w:val="000000"/>
          <w:kern w:val="0"/>
          <w:szCs w:val="21"/>
          <w:lang w:bidi="ar"/>
        </w:rPr>
        <w:t>，滑膜皱襞综合症的患者占</w:t>
      </w:r>
      <w:r>
        <w:rPr>
          <w:rFonts w:ascii="宋体" w:hAnsi="宋体" w:eastAsia="宋体" w:cs="宋体"/>
          <w:color w:val="000000"/>
          <w:kern w:val="0"/>
          <w:szCs w:val="21"/>
          <w:lang w:bidi="ar"/>
        </w:rPr>
        <w:t>9.3%</w:t>
      </w:r>
      <w:r>
        <w:rPr>
          <w:rFonts w:hint="eastAsia" w:ascii="宋体" w:hAnsi="宋体" w:eastAsia="宋体" w:cs="宋体"/>
          <w:color w:val="000000"/>
          <w:kern w:val="0"/>
          <w:szCs w:val="21"/>
          <w:lang w:bidi="ar"/>
        </w:rPr>
        <w:t>，关节内游离体的患者占</w:t>
      </w:r>
      <w:r>
        <w:rPr>
          <w:rFonts w:ascii="宋体" w:hAnsi="宋体" w:eastAsia="宋体" w:cs="宋体"/>
          <w:color w:val="000000"/>
          <w:kern w:val="0"/>
          <w:szCs w:val="21"/>
          <w:lang w:bidi="ar"/>
        </w:rPr>
        <w:t>11.1%</w:t>
      </w:r>
      <w:r>
        <w:rPr>
          <w:rFonts w:hint="eastAsia" w:ascii="宋体" w:hAnsi="宋体" w:eastAsia="宋体" w:cs="宋体"/>
          <w:color w:val="000000"/>
          <w:kern w:val="0"/>
          <w:szCs w:val="21"/>
          <w:lang w:bidi="ar"/>
        </w:rPr>
        <w:t>，半月板损伤的患者占</w:t>
      </w:r>
      <w:r>
        <w:rPr>
          <w:rFonts w:ascii="宋体" w:hAnsi="宋体" w:eastAsia="宋体" w:cs="宋体"/>
          <w:color w:val="000000"/>
          <w:kern w:val="0"/>
          <w:szCs w:val="21"/>
          <w:lang w:bidi="ar"/>
        </w:rPr>
        <w:t>18.5%</w:t>
      </w:r>
      <w:r>
        <w:rPr>
          <w:rFonts w:hint="eastAsia" w:ascii="宋体" w:hAnsi="宋体" w:eastAsia="宋体" w:cs="宋体"/>
          <w:color w:val="000000"/>
          <w:kern w:val="0"/>
          <w:szCs w:val="21"/>
          <w:lang w:bidi="ar"/>
        </w:rPr>
        <w:t>，滑膜软骨瘤病的患者占</w:t>
      </w:r>
      <w:r>
        <w:rPr>
          <w:rFonts w:ascii="宋体" w:hAnsi="宋体" w:eastAsia="宋体" w:cs="宋体"/>
          <w:color w:val="000000"/>
          <w:kern w:val="0"/>
          <w:szCs w:val="21"/>
          <w:lang w:bidi="ar"/>
        </w:rPr>
        <w:t>5.6%</w:t>
      </w:r>
      <w:r>
        <w:rPr>
          <w:rFonts w:hint="eastAsia" w:ascii="宋体" w:hAnsi="宋体" w:eastAsia="宋体" w:cs="宋体"/>
          <w:color w:val="000000"/>
          <w:kern w:val="0"/>
          <w:szCs w:val="21"/>
          <w:lang w:bidi="ar"/>
        </w:rPr>
        <w:t>，退行性关节炎的患者占</w:t>
      </w:r>
      <w:r>
        <w:rPr>
          <w:rFonts w:ascii="宋体" w:hAnsi="宋体" w:eastAsia="宋体" w:cs="宋体"/>
          <w:color w:val="000000"/>
          <w:kern w:val="0"/>
          <w:szCs w:val="21"/>
          <w:lang w:bidi="ar"/>
        </w:rPr>
        <w:t>12.5%</w:t>
      </w:r>
      <w:r>
        <w:rPr>
          <w:rFonts w:hint="eastAsia" w:ascii="宋体" w:hAnsi="宋体" w:eastAsia="宋体" w:cs="宋体"/>
          <w:color w:val="000000"/>
          <w:kern w:val="0"/>
          <w:szCs w:val="21"/>
          <w:lang w:bidi="ar"/>
        </w:rPr>
        <w:t>，而这些疾病都伴有不同程度的膝关节积液发生。</w:t>
      </w:r>
      <w:r>
        <w:rPr>
          <w:rFonts w:ascii="宋体" w:hAnsi="宋体" w:eastAsia="宋体" w:cs="宋体"/>
          <w:color w:val="000000"/>
          <w:kern w:val="0"/>
          <w:szCs w:val="21"/>
          <w:lang w:bidi="ar"/>
        </w:rPr>
        <w:t>2005</w:t>
      </w:r>
      <w:r>
        <w:rPr>
          <w:rFonts w:hint="eastAsia" w:ascii="宋体" w:hAnsi="宋体" w:eastAsia="宋体" w:cs="宋体"/>
          <w:color w:val="000000"/>
          <w:kern w:val="0"/>
          <w:szCs w:val="21"/>
          <w:lang w:bidi="ar"/>
        </w:rPr>
        <w:t>年，中华医学会对广州</w:t>
      </w:r>
      <w:r>
        <w:rPr>
          <w:rFonts w:ascii="宋体" w:hAnsi="宋体" w:eastAsia="宋体" w:cs="宋体"/>
          <w:color w:val="000000"/>
          <w:kern w:val="0"/>
          <w:szCs w:val="21"/>
          <w:lang w:bidi="ar"/>
        </w:rPr>
        <w:t>18</w:t>
      </w:r>
      <w:r>
        <w:rPr>
          <w:rFonts w:hint="eastAsia" w:ascii="宋体" w:hAnsi="宋体" w:eastAsia="宋体" w:cs="宋体"/>
          <w:color w:val="000000"/>
          <w:kern w:val="0"/>
          <w:szCs w:val="21"/>
          <w:lang w:bidi="ar"/>
        </w:rPr>
        <w:t>个小区</w:t>
      </w:r>
      <w:r>
        <w:rPr>
          <w:rFonts w:ascii="宋体" w:hAnsi="宋体" w:eastAsia="宋体" w:cs="宋体"/>
          <w:color w:val="000000"/>
          <w:kern w:val="0"/>
          <w:szCs w:val="21"/>
          <w:lang w:bidi="ar"/>
        </w:rPr>
        <w:t>45</w:t>
      </w:r>
      <w:r>
        <w:rPr>
          <w:rFonts w:hint="eastAsia" w:ascii="宋体" w:hAnsi="宋体" w:eastAsia="宋体" w:cs="宋体"/>
          <w:color w:val="000000"/>
          <w:kern w:val="0"/>
          <w:szCs w:val="21"/>
          <w:lang w:bidi="ar"/>
        </w:rPr>
        <w:t>岁以上的</w:t>
      </w:r>
      <w:r>
        <w:rPr>
          <w:rFonts w:ascii="宋体" w:hAnsi="宋体" w:eastAsia="宋体" w:cs="宋体"/>
          <w:color w:val="000000"/>
          <w:kern w:val="0"/>
          <w:szCs w:val="21"/>
          <w:lang w:bidi="ar"/>
        </w:rPr>
        <w:t>3010</w:t>
      </w:r>
      <w:r>
        <w:rPr>
          <w:rFonts w:hint="eastAsia" w:ascii="宋体" w:hAnsi="宋体" w:eastAsia="宋体" w:cs="宋体"/>
          <w:color w:val="000000"/>
          <w:kern w:val="0"/>
          <w:szCs w:val="21"/>
          <w:lang w:bidi="ar"/>
        </w:rPr>
        <w:t>名居民的调查结果中有</w:t>
      </w:r>
      <w:r>
        <w:rPr>
          <w:rFonts w:ascii="宋体" w:hAnsi="宋体" w:eastAsia="宋体" w:cs="宋体"/>
          <w:color w:val="000000"/>
          <w:kern w:val="0"/>
          <w:szCs w:val="21"/>
          <w:lang w:bidi="ar"/>
        </w:rPr>
        <w:t>650</w:t>
      </w:r>
      <w:r>
        <w:rPr>
          <w:rFonts w:hint="eastAsia" w:ascii="宋体" w:hAnsi="宋体" w:eastAsia="宋体" w:cs="宋体"/>
          <w:color w:val="000000"/>
          <w:kern w:val="0"/>
          <w:szCs w:val="21"/>
          <w:lang w:bidi="ar"/>
        </w:rPr>
        <w:t>人患有关节积液疾病，而同一时期的调查结果显示，北京郊区</w:t>
      </w:r>
      <w:r>
        <w:rPr>
          <w:rFonts w:ascii="宋体" w:hAnsi="宋体" w:eastAsia="宋体" w:cs="宋体"/>
          <w:color w:val="000000"/>
          <w:kern w:val="0"/>
          <w:szCs w:val="21"/>
          <w:lang w:bidi="ar"/>
        </w:rPr>
        <w:t>45</w:t>
      </w:r>
      <w:r>
        <w:rPr>
          <w:rFonts w:hint="eastAsia" w:ascii="宋体" w:hAnsi="宋体" w:eastAsia="宋体" w:cs="宋体"/>
          <w:color w:val="000000"/>
          <w:kern w:val="0"/>
          <w:szCs w:val="21"/>
          <w:lang w:bidi="ar"/>
        </w:rPr>
        <w:t>岁以上居民的膝关节疾病率</w:t>
      </w:r>
      <w:r>
        <w:rPr>
          <w:rFonts w:ascii="宋体" w:hAnsi="宋体" w:eastAsia="宋体" w:cs="宋体"/>
          <w:color w:val="000000"/>
          <w:kern w:val="0"/>
          <w:szCs w:val="21"/>
          <w:lang w:bidi="ar"/>
        </w:rPr>
        <w:t>38.7%</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2007</w:t>
      </w:r>
      <w:r>
        <w:rPr>
          <w:rFonts w:hint="eastAsia" w:ascii="宋体" w:hAnsi="宋体" w:eastAsia="宋体" w:cs="宋体"/>
          <w:color w:val="000000"/>
          <w:kern w:val="0"/>
          <w:szCs w:val="21"/>
          <w:lang w:bidi="ar"/>
        </w:rPr>
        <w:t>年，北京吉利大学对运动员的体质检查报告中表明，</w:t>
      </w:r>
      <w:r>
        <w:rPr>
          <w:rFonts w:ascii="宋体" w:hAnsi="宋体" w:eastAsia="宋体" w:cs="宋体"/>
          <w:color w:val="000000"/>
          <w:kern w:val="0"/>
          <w:szCs w:val="21"/>
          <w:lang w:bidi="ar"/>
        </w:rPr>
        <w:t>84%</w:t>
      </w:r>
      <w:r>
        <w:rPr>
          <w:rFonts w:hint="eastAsia" w:ascii="宋体" w:hAnsi="宋体" w:eastAsia="宋体" w:cs="宋体"/>
          <w:color w:val="000000"/>
          <w:kern w:val="0"/>
          <w:szCs w:val="21"/>
          <w:lang w:bidi="ar"/>
        </w:rPr>
        <w:t>的运动员，膝关节受过明显外伤，且伴随关节积液。</w:t>
      </w:r>
      <w:r>
        <w:rPr>
          <w:rFonts w:ascii="宋体" w:hAnsi="宋体" w:eastAsia="宋体" w:cs="宋体"/>
          <w:color w:val="000000"/>
          <w:kern w:val="0"/>
          <w:szCs w:val="21"/>
          <w:lang w:bidi="ar"/>
        </w:rPr>
        <w:t>2010</w:t>
      </w:r>
      <w:r>
        <w:rPr>
          <w:rFonts w:hint="eastAsia" w:ascii="宋体" w:hAnsi="宋体" w:eastAsia="宋体" w:cs="宋体"/>
          <w:color w:val="000000"/>
          <w:kern w:val="0"/>
          <w:szCs w:val="21"/>
          <w:lang w:bidi="ar"/>
        </w:rPr>
        <w:t>年，上海中冶骨科医院</w:t>
      </w:r>
      <w:r>
        <w:rPr>
          <w:rFonts w:ascii="宋体" w:hAnsi="宋体" w:eastAsia="宋体" w:cs="宋体"/>
          <w:color w:val="000000"/>
          <w:kern w:val="0"/>
          <w:szCs w:val="21"/>
          <w:lang w:bidi="ar"/>
        </w:rPr>
        <w:t>120</w:t>
      </w:r>
      <w:r>
        <w:rPr>
          <w:rFonts w:hint="eastAsia" w:ascii="宋体" w:hAnsi="宋体" w:eastAsia="宋体" w:cs="宋体"/>
          <w:color w:val="000000"/>
          <w:kern w:val="0"/>
          <w:szCs w:val="21"/>
          <w:lang w:bidi="ar"/>
        </w:rPr>
        <w:t>例患者中，患有关节积液的概率高达</w:t>
      </w:r>
      <w:r>
        <w:rPr>
          <w:rFonts w:ascii="宋体" w:hAnsi="宋体" w:eastAsia="宋体" w:cs="宋体"/>
          <w:color w:val="000000"/>
          <w:kern w:val="0"/>
          <w:szCs w:val="21"/>
          <w:lang w:bidi="ar"/>
        </w:rPr>
        <w:t>63%</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2016</w:t>
      </w:r>
      <w:r>
        <w:rPr>
          <w:rFonts w:hint="eastAsia" w:ascii="宋体" w:hAnsi="宋体" w:eastAsia="宋体" w:cs="宋体"/>
          <w:color w:val="000000"/>
          <w:kern w:val="0"/>
          <w:szCs w:val="21"/>
          <w:lang w:bidi="ar"/>
        </w:rPr>
        <w:t>年，南宁市中医医院的统计表明，</w:t>
      </w:r>
      <w:r>
        <w:rPr>
          <w:rFonts w:ascii="宋体" w:hAnsi="宋体" w:eastAsia="宋体" w:cs="宋体"/>
          <w:color w:val="000000"/>
          <w:kern w:val="0"/>
          <w:szCs w:val="21"/>
          <w:lang w:bidi="ar"/>
        </w:rPr>
        <w:t>118</w:t>
      </w:r>
      <w:r>
        <w:rPr>
          <w:rFonts w:hint="eastAsia" w:ascii="宋体" w:hAnsi="宋体" w:eastAsia="宋体" w:cs="宋体"/>
          <w:color w:val="000000"/>
          <w:kern w:val="0"/>
          <w:szCs w:val="21"/>
          <w:lang w:bidi="ar"/>
        </w:rPr>
        <w:t>例患者中</w:t>
      </w:r>
      <w:r>
        <w:rPr>
          <w:rFonts w:ascii="宋体" w:hAnsi="宋体" w:eastAsia="宋体" w:cs="宋体"/>
          <w:color w:val="000000"/>
          <w:kern w:val="0"/>
          <w:szCs w:val="21"/>
          <w:lang w:bidi="ar"/>
        </w:rPr>
        <w:t>81</w:t>
      </w:r>
      <w:r>
        <w:rPr>
          <w:rFonts w:hint="eastAsia" w:ascii="宋体" w:hAnsi="宋体" w:eastAsia="宋体" w:cs="宋体"/>
          <w:color w:val="000000"/>
          <w:kern w:val="0"/>
          <w:szCs w:val="21"/>
          <w:lang w:bidi="ar"/>
        </w:rPr>
        <w:t>例患有关节积液。</w:t>
      </w:r>
      <w:r>
        <w:rPr>
          <w:rFonts w:ascii="宋体" w:hAnsi="宋体" w:eastAsia="宋体" w:cs="宋体"/>
          <w:color w:val="000000"/>
          <w:kern w:val="0"/>
          <w:szCs w:val="21"/>
          <w:lang w:bidi="ar"/>
        </w:rPr>
        <w:t>2014</w:t>
      </w:r>
      <w:r>
        <w:rPr>
          <w:rFonts w:hint="eastAsia" w:ascii="宋体" w:hAnsi="宋体" w:eastAsia="宋体" w:cs="宋体"/>
          <w:color w:val="000000"/>
          <w:kern w:val="0"/>
          <w:szCs w:val="21"/>
          <w:lang w:bidi="ar"/>
        </w:rPr>
        <w:t>年，辽宁营口医院的统计的</w:t>
      </w:r>
      <w:r>
        <w:rPr>
          <w:rFonts w:ascii="宋体" w:hAnsi="宋体" w:eastAsia="宋体" w:cs="宋体"/>
          <w:color w:val="000000"/>
          <w:kern w:val="0"/>
          <w:szCs w:val="21"/>
          <w:lang w:bidi="ar"/>
        </w:rPr>
        <w:t>61</w:t>
      </w:r>
      <w:r>
        <w:rPr>
          <w:rFonts w:hint="eastAsia" w:ascii="宋体" w:hAnsi="宋体" w:eastAsia="宋体" w:cs="宋体"/>
          <w:color w:val="000000"/>
          <w:kern w:val="0"/>
          <w:szCs w:val="21"/>
          <w:lang w:bidi="ar"/>
        </w:rPr>
        <w:t>例患者中，</w:t>
      </w:r>
      <w:r>
        <w:rPr>
          <w:rFonts w:ascii="宋体" w:hAnsi="宋体" w:eastAsia="宋体" w:cs="宋体"/>
          <w:color w:val="000000"/>
          <w:kern w:val="0"/>
          <w:szCs w:val="21"/>
          <w:lang w:bidi="ar"/>
        </w:rPr>
        <w:t>73%</w:t>
      </w:r>
      <w:r>
        <w:rPr>
          <w:rFonts w:hint="eastAsia" w:ascii="宋体" w:hAnsi="宋体" w:eastAsia="宋体" w:cs="宋体"/>
          <w:color w:val="000000"/>
          <w:kern w:val="0"/>
          <w:szCs w:val="21"/>
          <w:lang w:bidi="ar"/>
        </w:rPr>
        <w:t>的患者伴有膝关节积液。</w:t>
      </w:r>
      <w:r>
        <w:rPr>
          <w:rFonts w:ascii="宋体" w:hAnsi="宋体" w:eastAsia="宋体" w:cs="宋体"/>
          <w:color w:val="000000"/>
          <w:kern w:val="0"/>
          <w:szCs w:val="21"/>
          <w:lang w:bidi="ar"/>
        </w:rPr>
        <w:t>2018</w:t>
      </w:r>
      <w:r>
        <w:rPr>
          <w:rFonts w:hint="eastAsia" w:ascii="宋体" w:hAnsi="宋体" w:eastAsia="宋体" w:cs="宋体"/>
          <w:color w:val="000000"/>
          <w:kern w:val="0"/>
          <w:szCs w:val="21"/>
          <w:lang w:bidi="ar"/>
        </w:rPr>
        <w:t>年，河北医科大学第二医院的统计病例中，</w:t>
      </w:r>
      <w:r>
        <w:rPr>
          <w:rFonts w:ascii="宋体" w:hAnsi="宋体" w:eastAsia="宋体" w:cs="宋体"/>
          <w:color w:val="000000"/>
          <w:kern w:val="0"/>
          <w:szCs w:val="21"/>
          <w:lang w:bidi="ar"/>
        </w:rPr>
        <w:t>75%</w:t>
      </w:r>
      <w:r>
        <w:rPr>
          <w:rFonts w:hint="eastAsia" w:ascii="宋体" w:hAnsi="宋体" w:eastAsia="宋体" w:cs="宋体"/>
          <w:color w:val="000000"/>
          <w:kern w:val="0"/>
          <w:szCs w:val="21"/>
          <w:lang w:bidi="ar"/>
        </w:rPr>
        <w:t xml:space="preserve">的病例伴有关节积液。 </w:t>
      </w:r>
    </w:p>
    <w:p>
      <w:pPr>
        <w:widowControl/>
        <w:ind w:firstLine="420"/>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目前临床上最常见的关节积液检测方法是</w:t>
      </w:r>
      <w:r>
        <w:rPr>
          <w:rFonts w:ascii="宋体" w:hAnsi="宋体" w:eastAsia="宋体" w:cs="宋体"/>
          <w:color w:val="000000"/>
          <w:kern w:val="0"/>
          <w:szCs w:val="21"/>
          <w:lang w:bidi="ar"/>
        </w:rPr>
        <w:t>MRI</w:t>
      </w:r>
      <w:r>
        <w:rPr>
          <w:rFonts w:hint="eastAsia" w:ascii="宋体" w:hAnsi="宋体" w:eastAsia="宋体" w:cs="宋体"/>
          <w:color w:val="000000"/>
          <w:kern w:val="0"/>
          <w:szCs w:val="21"/>
          <w:lang w:bidi="ar"/>
        </w:rPr>
        <w:t>检测，但这种检测方法的价格较 为昂贵，且扫描时间长，患者需保持同一姿势</w:t>
      </w:r>
      <w:r>
        <w:rPr>
          <w:rFonts w:ascii="宋体" w:hAnsi="宋体" w:eastAsia="宋体" w:cs="宋体"/>
          <w:color w:val="000000"/>
          <w:kern w:val="0"/>
          <w:szCs w:val="21"/>
          <w:lang w:bidi="ar"/>
        </w:rPr>
        <w:t>15-20</w:t>
      </w:r>
      <w:r>
        <w:rPr>
          <w:rFonts w:hint="eastAsia" w:ascii="宋体" w:hAnsi="宋体" w:eastAsia="宋体" w:cs="宋体"/>
          <w:color w:val="000000"/>
          <w:kern w:val="0"/>
          <w:szCs w:val="21"/>
          <w:lang w:bidi="ar"/>
        </w:rPr>
        <w:t>分钟，操作复杂。其次，临床上也会通过髌上囊超声检查的方法对膝关节积液量进行分级，该方法需要患者采用弯曲体位，且无回声区的透声会因病情的不同有所改变，如果是因为骨性关节炎引起的积液，一般透声尚可，而伴炎症改变时，透声不佳。再者，有些医生会采用浮髌试验或者其他物理查体实验的方法来检测膝关节积液，但这种方法主观性较强，对操作者的临床经验有一定的要求，且只有当积液量超过</w:t>
      </w:r>
      <w:r>
        <w:rPr>
          <w:rFonts w:ascii="宋体" w:hAnsi="宋体" w:eastAsia="宋体" w:cs="宋体"/>
          <w:color w:val="000000"/>
          <w:kern w:val="0"/>
          <w:szCs w:val="21"/>
          <w:lang w:bidi="ar"/>
        </w:rPr>
        <w:t>10ml</w:t>
      </w:r>
      <w:r>
        <w:rPr>
          <w:rFonts w:hint="eastAsia" w:ascii="宋体" w:hAnsi="宋体" w:eastAsia="宋体" w:cs="宋体"/>
          <w:color w:val="000000"/>
          <w:kern w:val="0"/>
          <w:szCs w:val="21"/>
          <w:lang w:bidi="ar"/>
        </w:rPr>
        <w:t xml:space="preserve">时，浮髌试验才会显出阳性，存在漏诊可能。 </w:t>
      </w:r>
    </w:p>
    <w:p>
      <w:pPr>
        <w:widowControl/>
        <w:ind w:firstLine="420"/>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随着生物阻抗检测技术的发展进步，生物电阻抗测量也应用到了人体体液含量检测过程当中。生物阻抗测量技术有很好的辨别能力，其研究和应用领域也越来越广泛。此外，生物电阻抗技术具有无创伤、无损害、信息丰富、操作简单等优点，而且可以实现对生物信号的实时监测，因此，生物阻抗测量技术具有可观的研究价值和应用前景。</w:t>
      </w:r>
    </w:p>
    <w:p>
      <w:pPr>
        <w:widowControl/>
        <w:ind w:firstLine="420"/>
        <w:jc w:val="left"/>
        <w:rPr>
          <w:rFonts w:ascii="宋体" w:hAnsi="宋体" w:eastAsia="宋体" w:cs="宋体"/>
          <w:color w:val="000000"/>
          <w:kern w:val="0"/>
          <w:szCs w:val="21"/>
          <w:lang w:bidi="ar"/>
        </w:rPr>
      </w:pPr>
    </w:p>
    <w:p>
      <w:pPr>
        <w:pStyle w:val="3"/>
        <w:rPr>
          <w:rFonts w:ascii="黑体" w:hAnsi="黑体"/>
          <w:sz w:val="24"/>
        </w:rPr>
      </w:pPr>
      <w:bookmarkStart w:id="2" w:name="_Toc132368914"/>
      <w:r>
        <w:rPr>
          <w:rFonts w:ascii="黑体" w:hAnsi="黑体" w:cs="宋体"/>
          <w:color w:val="000000"/>
          <w:kern w:val="0"/>
          <w:sz w:val="24"/>
          <w:lang w:bidi="ar"/>
        </w:rPr>
        <w:t>1</w:t>
      </w:r>
      <w:r>
        <w:rPr>
          <w:rFonts w:hint="eastAsia" w:ascii="黑体" w:hAnsi="黑体" w:cs="宋体"/>
          <w:color w:val="000000"/>
          <w:kern w:val="0"/>
          <w:sz w:val="24"/>
          <w:lang w:bidi="ar"/>
        </w:rPr>
        <w:t>.2</w:t>
      </w:r>
      <w:r>
        <w:rPr>
          <w:rFonts w:ascii="黑体" w:hAnsi="黑体" w:cs="宋体"/>
          <w:color w:val="000000"/>
          <w:kern w:val="0"/>
          <w:sz w:val="24"/>
          <w:lang w:bidi="ar"/>
        </w:rPr>
        <w:t xml:space="preserve"> </w:t>
      </w:r>
      <w:r>
        <w:rPr>
          <w:rFonts w:hint="eastAsia" w:ascii="黑体" w:hAnsi="黑体"/>
          <w:sz w:val="24"/>
        </w:rPr>
        <w:t>产品介绍</w:t>
      </w:r>
      <w:bookmarkEnd w:id="2"/>
    </w:p>
    <w:p>
      <w:pPr>
        <w:widowControl/>
        <w:ind w:firstLine="420"/>
        <w:jc w:val="left"/>
        <w:rPr>
          <w:rFonts w:ascii="宋体" w:hAnsi="宋体" w:eastAsia="宋体" w:cs="宋体"/>
          <w:color w:val="000000"/>
          <w:kern w:val="0"/>
          <w:sz w:val="24"/>
          <w:lang w:bidi="ar"/>
        </w:rPr>
      </w:pPr>
      <w:r>
        <w:rPr>
          <w:rFonts w:hint="eastAsia" w:ascii="宋体" w:hAnsi="宋体" w:eastAsia="宋体" w:cs="宋体"/>
          <w:color w:val="000000"/>
          <w:kern w:val="0"/>
          <w:szCs w:val="21"/>
          <w:lang w:bidi="ar"/>
        </w:rPr>
        <w:t>电阻抗层析成像(EIT)断层成像,EIT</w:t>
      </w:r>
      <w:r>
        <w:fldChar w:fldCharType="begin"/>
      </w:r>
      <w:r>
        <w:instrText xml:space="preserve"> HYPERLINK "https://www.auniontech.com/yy-20.html" \t "https://www.auniontech.com/_blank" </w:instrText>
      </w:r>
      <w:r>
        <w:fldChar w:fldCharType="separate"/>
      </w:r>
      <w:r>
        <w:rPr>
          <w:rFonts w:ascii="宋体" w:hAnsi="宋体" w:eastAsia="宋体" w:cs="宋体"/>
          <w:color w:val="000000"/>
          <w:kern w:val="0"/>
          <w:szCs w:val="21"/>
          <w:lang w:bidi="ar"/>
        </w:rPr>
        <w:t>生物成像</w:t>
      </w:r>
      <w:r>
        <w:rPr>
          <w:rFonts w:ascii="宋体" w:hAnsi="宋体" w:eastAsia="宋体" w:cs="宋体"/>
          <w:color w:val="000000"/>
          <w:kern w:val="0"/>
          <w:szCs w:val="21"/>
          <w:lang w:bidi="ar"/>
        </w:rPr>
        <w:fldChar w:fldCharType="end"/>
      </w:r>
      <w:r>
        <w:rPr>
          <w:rFonts w:ascii="宋体" w:hAnsi="宋体" w:eastAsia="宋体" w:cs="宋体"/>
          <w:color w:val="000000"/>
          <w:kern w:val="0"/>
          <w:szCs w:val="21"/>
          <w:lang w:bidi="ar"/>
        </w:rPr>
        <w:t>是一种将电导率或阻抗分布在二维和三维可视化的成像技术。</w:t>
      </w:r>
      <w:r>
        <w:rPr>
          <w:rFonts w:hint="eastAsia" w:ascii="宋体" w:hAnsi="宋体" w:eastAsia="宋体" w:cs="宋体"/>
          <w:color w:val="000000"/>
          <w:kern w:val="0"/>
          <w:szCs w:val="21"/>
          <w:lang w:bidi="ar"/>
        </w:rPr>
        <w:t>本</w:t>
      </w:r>
      <w:r>
        <w:rPr>
          <w:rFonts w:ascii="宋体" w:hAnsi="宋体" w:eastAsia="宋体" w:cs="宋体"/>
          <w:color w:val="000000"/>
          <w:kern w:val="0"/>
          <w:szCs w:val="21"/>
          <w:lang w:bidi="ar"/>
        </w:rPr>
        <w:t>生物电阻抗断层成像仪断层成像,EIT生物成像能够多通道扩展，专为测量电阻抗层析成像或一般多端口阻抗测量应用。生物电阻抗断层成像仪EIT,断层成像,EIT生物成像真正的并行测量和紧密同步切换实现快速帧频。生物电阻抗断层成像仪的软件提供了EIT图像重建功能的时间和频率差成像。</w:t>
      </w:r>
    </w:p>
    <w:p>
      <w:pPr>
        <w:widowControl/>
        <w:jc w:val="center"/>
      </w:pPr>
      <w:r>
        <w:drawing>
          <wp:inline distT="0" distB="0" distL="114300" distR="114300">
            <wp:extent cx="3505835" cy="2330450"/>
            <wp:effectExtent l="0" t="0" r="1460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rcRect l="28647" t="36262" r="27634" b="12087"/>
                    <a:stretch>
                      <a:fillRect/>
                    </a:stretch>
                  </pic:blipFill>
                  <pic:spPr>
                    <a:xfrm>
                      <a:off x="0" y="0"/>
                      <a:ext cx="3505835" cy="2330450"/>
                    </a:xfrm>
                    <a:prstGeom prst="rect">
                      <a:avLst/>
                    </a:prstGeom>
                    <a:noFill/>
                    <a:ln>
                      <a:noFill/>
                    </a:ln>
                  </pic:spPr>
                </pic:pic>
              </a:graphicData>
            </a:graphic>
          </wp:inline>
        </w:drawing>
      </w:r>
    </w:p>
    <w:p>
      <w:pPr>
        <w:widowControl/>
        <w:jc w:val="center"/>
      </w:pPr>
      <w:r>
        <w:rPr>
          <w:rFonts w:hint="eastAsia"/>
        </w:rPr>
        <w:t>16电极电阻抗层析成像仪</w:t>
      </w:r>
    </w:p>
    <w:p>
      <w:pPr>
        <w:widowControl/>
        <w:ind w:firstLine="420"/>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本</w:t>
      </w:r>
      <w:r>
        <w:rPr>
          <w:rFonts w:ascii="宋体" w:hAnsi="宋体" w:eastAsia="宋体" w:cs="宋体"/>
          <w:color w:val="000000"/>
          <w:kern w:val="0"/>
          <w:szCs w:val="21"/>
          <w:lang w:bidi="ar"/>
        </w:rPr>
        <w:t>EIT系统采用的都是如图所示的测量方式，</w:t>
      </w:r>
      <w:r>
        <w:rPr>
          <w:rFonts w:hint="eastAsia" w:ascii="宋体" w:hAnsi="宋体" w:eastAsia="宋体" w:cs="宋体"/>
          <w:color w:val="000000"/>
          <w:kern w:val="0"/>
          <w:szCs w:val="21"/>
          <w:lang w:bidi="ar"/>
        </w:rPr>
        <w:t>在环状检测装置内置16个</w:t>
      </w:r>
      <w:r>
        <w:rPr>
          <w:rFonts w:ascii="宋体" w:hAnsi="宋体" w:eastAsia="宋体" w:cs="宋体"/>
          <w:color w:val="000000"/>
          <w:kern w:val="0"/>
          <w:szCs w:val="21"/>
          <w:lang w:bidi="ar"/>
        </w:rPr>
        <w:t>电极，由一对电极施加一微弱的电流激励，然后测量其余电极对上对应的电压值，</w:t>
      </w:r>
      <w:r>
        <w:rPr>
          <w:rFonts w:hint="eastAsia" w:ascii="宋体" w:hAnsi="宋体" w:eastAsia="宋体" w:cs="宋体"/>
          <w:color w:val="000000"/>
          <w:kern w:val="0"/>
          <w:szCs w:val="21"/>
          <w:lang w:bidi="ar"/>
        </w:rPr>
        <w:t>依次循环</w:t>
      </w:r>
      <w:r>
        <w:rPr>
          <w:rFonts w:ascii="宋体" w:hAnsi="宋体" w:eastAsia="宋体" w:cs="宋体"/>
          <w:color w:val="000000"/>
          <w:kern w:val="0"/>
          <w:szCs w:val="21"/>
          <w:lang w:bidi="ar"/>
        </w:rPr>
        <w:t>切换一对电极进行激励，并测量其余电极对上对应的电压值，可以测的一组电流激励下的电压值，根据</w:t>
      </w:r>
      <w:r>
        <w:rPr>
          <w:rFonts w:hint="eastAsia" w:ascii="宋体" w:hAnsi="宋体" w:eastAsia="宋体" w:cs="宋体"/>
          <w:color w:val="000000"/>
          <w:kern w:val="0"/>
          <w:szCs w:val="21"/>
          <w:lang w:bidi="ar"/>
        </w:rPr>
        <w:t>原创的</w:t>
      </w:r>
      <w:r>
        <w:rPr>
          <w:rFonts w:ascii="宋体" w:hAnsi="宋体" w:eastAsia="宋体" w:cs="宋体"/>
          <w:color w:val="000000"/>
          <w:kern w:val="0"/>
          <w:szCs w:val="21"/>
          <w:lang w:bidi="ar"/>
        </w:rPr>
        <w:t>重构算法即可重构出内部的电导率分布或者电导率变化的分布。</w:t>
      </w:r>
      <w:r>
        <w:rPr>
          <w:rFonts w:hint="eastAsia" w:ascii="宋体" w:hAnsi="宋体" w:eastAsia="宋体" w:cs="宋体"/>
          <w:color w:val="000000"/>
          <w:kern w:val="0"/>
          <w:szCs w:val="21"/>
          <w:lang w:bidi="ar"/>
        </w:rPr>
        <w:t>以电导率数据成二维切面图像，成像位置随检测环位置可连续移动，即达到实时查看关节不同位置的积液状况。</w:t>
      </w:r>
    </w:p>
    <w:p>
      <w:pPr>
        <w:widowControl/>
        <w:jc w:val="left"/>
      </w:pPr>
      <w:r>
        <w:drawing>
          <wp:inline distT="0" distB="0" distL="114300" distR="114300">
            <wp:extent cx="5260340" cy="1978660"/>
            <wp:effectExtent l="0" t="0" r="12700"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rcRect l="20256" t="23618" r="15517" b="33433"/>
                    <a:stretch>
                      <a:fillRect/>
                    </a:stretch>
                  </pic:blipFill>
                  <pic:spPr>
                    <a:xfrm>
                      <a:off x="0" y="0"/>
                      <a:ext cx="5260340" cy="1978660"/>
                    </a:xfrm>
                    <a:prstGeom prst="rect">
                      <a:avLst/>
                    </a:prstGeom>
                    <a:noFill/>
                    <a:ln>
                      <a:noFill/>
                    </a:ln>
                  </pic:spPr>
                </pic:pic>
              </a:graphicData>
            </a:graphic>
          </wp:inline>
        </w:drawing>
      </w:r>
    </w:p>
    <w:p>
      <w:pPr>
        <w:widowControl/>
        <w:jc w:val="center"/>
      </w:pPr>
      <w:r>
        <w:rPr>
          <w:rFonts w:hint="eastAsia"/>
        </w:rPr>
        <w:t>EIT技术的示意图</w:t>
      </w:r>
    </w:p>
    <w:p>
      <w:pPr>
        <w:widowControl/>
        <w:jc w:val="left"/>
      </w:pPr>
    </w:p>
    <w:p>
      <w:pPr>
        <w:widowControl/>
        <w:ind w:firstLine="420"/>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本项目创新性的利用</w:t>
      </w:r>
      <w:r>
        <w:rPr>
          <w:rFonts w:ascii="宋体" w:hAnsi="宋体" w:eastAsia="宋体" w:cs="宋体"/>
          <w:color w:val="000000"/>
          <w:kern w:val="0"/>
          <w:szCs w:val="21"/>
          <w:lang w:bidi="ar"/>
        </w:rPr>
        <w:t>电阻抗断层成像仪</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EIT</w:t>
      </w:r>
      <w:r>
        <w:rPr>
          <w:rFonts w:hint="eastAsia" w:ascii="宋体" w:hAnsi="宋体" w:eastAsia="宋体" w:cs="宋体"/>
          <w:color w:val="000000"/>
          <w:kern w:val="0"/>
          <w:szCs w:val="21"/>
          <w:lang w:bidi="ar"/>
        </w:rPr>
        <w:t>），通过控制16电极发射正弦波与采集电信号实现关节积液监测。采集到的电信号数据经过阻抗分析仪处理过后，用户可以通过EIT设备自带的显示屏观察成像情况；通过WiFi</w:t>
      </w:r>
      <w:r>
        <w:rPr>
          <w:rFonts w:ascii="宋体" w:hAnsi="宋体" w:eastAsia="宋体" w:cs="宋体"/>
          <w:color w:val="000000"/>
          <w:kern w:val="0"/>
          <w:szCs w:val="21"/>
          <w:lang w:bidi="ar"/>
        </w:rPr>
        <w:t>把数据上传到工作站进行</w:t>
      </w:r>
      <w:r>
        <w:rPr>
          <w:rFonts w:hint="eastAsia" w:ascii="宋体" w:hAnsi="宋体" w:eastAsia="宋体" w:cs="宋体"/>
          <w:color w:val="000000"/>
          <w:kern w:val="0"/>
          <w:szCs w:val="21"/>
          <w:lang w:bidi="ar"/>
        </w:rPr>
        <w:t>实时计算，获得精度更高的三维图像与诊疗方案，将结果实时显示在app上方便访问。本项目创新性的将</w:t>
      </w:r>
      <w:r>
        <w:rPr>
          <w:rFonts w:ascii="宋体" w:hAnsi="宋体" w:eastAsia="宋体" w:cs="宋体"/>
          <w:color w:val="000000"/>
          <w:kern w:val="0"/>
          <w:szCs w:val="21"/>
          <w:lang w:bidi="ar"/>
        </w:rPr>
        <w:t>电阻抗断层成像仪</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EIT</w:t>
      </w:r>
      <w:r>
        <w:rPr>
          <w:rFonts w:hint="eastAsia" w:ascii="宋体" w:hAnsi="宋体" w:eastAsia="宋体" w:cs="宋体"/>
          <w:color w:val="000000"/>
          <w:kern w:val="0"/>
          <w:szCs w:val="21"/>
          <w:lang w:bidi="ar"/>
        </w:rPr>
        <w:t>）应用于关节积液检测领域，</w:t>
      </w:r>
      <w:r>
        <w:rPr>
          <w:rFonts w:ascii="宋体" w:hAnsi="宋体" w:eastAsia="宋体" w:cs="宋体"/>
          <w:color w:val="000000"/>
          <w:kern w:val="0"/>
          <w:szCs w:val="21"/>
          <w:lang w:bidi="ar"/>
        </w:rPr>
        <w:t>填补了</w:t>
      </w:r>
      <w:r>
        <w:rPr>
          <w:rFonts w:hint="eastAsia" w:ascii="宋体" w:hAnsi="宋体" w:eastAsia="宋体" w:cs="宋体"/>
          <w:color w:val="000000"/>
          <w:kern w:val="0"/>
          <w:szCs w:val="21"/>
          <w:lang w:bidi="ar"/>
        </w:rPr>
        <w:t>关节积液检测</w:t>
      </w:r>
      <w:r>
        <w:fldChar w:fldCharType="begin"/>
      </w:r>
      <w:r>
        <w:instrText xml:space="preserve"> HYPERLINK "https://www.auniontech.com/three-level-157.html" \t "https://www.auniontech.com/_blank" </w:instrText>
      </w:r>
      <w:r>
        <w:fldChar w:fldCharType="separate"/>
      </w:r>
      <w:r>
        <w:rPr>
          <w:rFonts w:ascii="宋体" w:hAnsi="宋体" w:eastAsia="宋体" w:cs="宋体"/>
          <w:color w:val="000000"/>
          <w:kern w:val="0"/>
          <w:szCs w:val="21"/>
          <w:lang w:bidi="ar"/>
        </w:rPr>
        <w:t>阻抗分析仪</w:t>
      </w:r>
      <w:r>
        <w:rPr>
          <w:rFonts w:ascii="宋体" w:hAnsi="宋体" w:eastAsia="宋体" w:cs="宋体"/>
          <w:color w:val="000000"/>
          <w:kern w:val="0"/>
          <w:szCs w:val="21"/>
          <w:lang w:bidi="ar"/>
        </w:rPr>
        <w:fldChar w:fldCharType="end"/>
      </w:r>
      <w:r>
        <w:rPr>
          <w:rFonts w:ascii="宋体" w:hAnsi="宋体" w:eastAsia="宋体" w:cs="宋体"/>
          <w:color w:val="000000"/>
          <w:kern w:val="0"/>
          <w:szCs w:val="21"/>
          <w:lang w:bidi="ar"/>
        </w:rPr>
        <w:t>和断层成像仪的市场空白</w:t>
      </w:r>
      <w:r>
        <w:rPr>
          <w:rFonts w:hint="eastAsia" w:ascii="宋体" w:hAnsi="宋体" w:eastAsia="宋体" w:cs="宋体"/>
          <w:color w:val="000000"/>
          <w:kern w:val="0"/>
          <w:szCs w:val="21"/>
          <w:lang w:bidi="ar"/>
        </w:rPr>
        <w:t>。</w:t>
      </w:r>
    </w:p>
    <w:p>
      <w:pPr>
        <w:widowControl/>
        <w:ind w:firstLine="420"/>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提高系统运行速度以及降低对于主控芯片要求，从而降低成本。</w:t>
      </w:r>
    </w:p>
    <w:p>
      <w:pPr>
        <w:widowControl/>
        <w:ind w:firstLine="420"/>
        <w:jc w:val="center"/>
      </w:pPr>
      <w:r>
        <w:drawing>
          <wp:inline distT="0" distB="0" distL="114300" distR="114300">
            <wp:extent cx="4269105" cy="3152140"/>
            <wp:effectExtent l="0" t="0" r="13335"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rcRect l="27514" t="29254" r="28201" b="12623"/>
                    <a:stretch>
                      <a:fillRect/>
                    </a:stretch>
                  </pic:blipFill>
                  <pic:spPr>
                    <a:xfrm>
                      <a:off x="0" y="0"/>
                      <a:ext cx="4269105" cy="3152140"/>
                    </a:xfrm>
                    <a:prstGeom prst="rect">
                      <a:avLst/>
                    </a:prstGeom>
                    <a:noFill/>
                    <a:ln>
                      <a:noFill/>
                    </a:ln>
                  </pic:spPr>
                </pic:pic>
              </a:graphicData>
            </a:graphic>
          </wp:inline>
        </w:drawing>
      </w:r>
    </w:p>
    <w:p>
      <w:pPr>
        <w:widowControl/>
        <w:jc w:val="center"/>
      </w:pPr>
      <w:r>
        <w:rPr>
          <w:rFonts w:hint="eastAsia"/>
        </w:rPr>
        <w:t>EIT手环产品外观</w:t>
      </w:r>
    </w:p>
    <w:p>
      <w:pPr>
        <w:pStyle w:val="3"/>
        <w:rPr>
          <w:rFonts w:ascii="黑体" w:hAnsi="黑体"/>
          <w:sz w:val="24"/>
        </w:rPr>
      </w:pPr>
      <w:bookmarkStart w:id="3" w:name="_Toc132368915"/>
      <w:r>
        <w:rPr>
          <w:rFonts w:ascii="黑体" w:hAnsi="黑体"/>
          <w:sz w:val="24"/>
        </w:rPr>
        <w:t>1</w:t>
      </w:r>
      <w:r>
        <w:rPr>
          <w:rFonts w:hint="eastAsia" w:ascii="黑体" w:hAnsi="黑体"/>
          <w:sz w:val="24"/>
        </w:rPr>
        <w:t>.3</w:t>
      </w:r>
      <w:r>
        <w:rPr>
          <w:rFonts w:ascii="黑体" w:hAnsi="黑体"/>
          <w:sz w:val="24"/>
        </w:rPr>
        <w:t xml:space="preserve"> </w:t>
      </w:r>
      <w:r>
        <w:rPr>
          <w:rFonts w:hint="eastAsia" w:ascii="黑体" w:hAnsi="黑体"/>
          <w:sz w:val="24"/>
        </w:rPr>
        <w:t>产品创新性</w:t>
      </w:r>
      <w:bookmarkEnd w:id="3"/>
    </w:p>
    <w:p>
      <w:pPr>
        <w:pStyle w:val="4"/>
        <w:rPr>
          <w:rFonts w:ascii="黑体" w:hAnsi="黑体" w:eastAsia="黑体"/>
        </w:rPr>
      </w:pPr>
      <w:bookmarkStart w:id="4" w:name="_Toc132368916"/>
      <w:r>
        <w:rPr>
          <w:rFonts w:ascii="黑体" w:hAnsi="黑体" w:eastAsia="黑体" w:cs="宋体"/>
          <w:b w:val="0"/>
          <w:bCs w:val="0"/>
          <w:color w:val="000000"/>
          <w:kern w:val="0"/>
          <w:sz w:val="24"/>
          <w:szCs w:val="18"/>
          <w:lang w:bidi="ar"/>
        </w:rPr>
        <w:t>1</w:t>
      </w:r>
      <w:r>
        <w:rPr>
          <w:rFonts w:hint="eastAsia" w:ascii="黑体" w:hAnsi="黑体" w:eastAsia="黑体" w:cs="宋体"/>
          <w:color w:val="000000"/>
          <w:kern w:val="0"/>
          <w:sz w:val="24"/>
          <w:szCs w:val="18"/>
          <w:lang w:bidi="ar"/>
        </w:rPr>
        <w:t>.3.1 数据可视化</w:t>
      </w:r>
      <w:bookmarkEnd w:id="4"/>
      <w:r>
        <w:rPr>
          <w:rFonts w:hint="eastAsia" w:ascii="黑体" w:hAnsi="黑体" w:eastAsia="黑体" w:cs="宋体"/>
          <w:color w:val="000000"/>
          <w:kern w:val="0"/>
          <w:szCs w:val="21"/>
          <w:lang w:bidi="ar"/>
        </w:rPr>
        <w:t xml:space="preserve"> </w:t>
      </w:r>
    </w:p>
    <w:p>
      <w:pPr>
        <w:widowControl/>
        <w:jc w:val="left"/>
      </w:pPr>
      <w:r>
        <w:rPr>
          <w:rFonts w:hint="eastAsia" w:ascii="宋体" w:hAnsi="宋体" w:eastAsia="宋体" w:cs="宋体"/>
          <w:color w:val="000000"/>
          <w:kern w:val="0"/>
          <w:szCs w:val="21"/>
          <w:lang w:bidi="ar"/>
        </w:rPr>
        <w:t>独创多模态三维可视化技术使得关节积液分布状况清晰可见，能够有效节省检测成本，同时图像精度得到有效保证。</w:t>
      </w:r>
    </w:p>
    <w:p>
      <w:pPr>
        <w:pStyle w:val="4"/>
        <w:rPr>
          <w:rFonts w:ascii="黑体" w:hAnsi="黑体" w:eastAsia="黑体"/>
          <w:sz w:val="24"/>
          <w:szCs w:val="24"/>
        </w:rPr>
      </w:pPr>
      <w:bookmarkStart w:id="5" w:name="_Toc132368917"/>
      <w:r>
        <w:rPr>
          <w:rFonts w:ascii="黑体" w:hAnsi="黑体" w:eastAsia="黑体" w:cs="宋体"/>
          <w:b w:val="0"/>
          <w:bCs w:val="0"/>
          <w:color w:val="000000"/>
          <w:kern w:val="0"/>
          <w:sz w:val="24"/>
          <w:szCs w:val="18"/>
          <w:lang w:bidi="ar"/>
        </w:rPr>
        <w:t>1</w:t>
      </w:r>
      <w:r>
        <w:rPr>
          <w:rFonts w:hint="eastAsia" w:ascii="黑体" w:hAnsi="黑体" w:eastAsia="黑体" w:cs="宋体"/>
          <w:color w:val="000000"/>
          <w:kern w:val="0"/>
          <w:sz w:val="24"/>
          <w:szCs w:val="18"/>
          <w:lang w:bidi="ar"/>
        </w:rPr>
        <w:t>.3.2 靶点精准化</w:t>
      </w:r>
      <w:bookmarkEnd w:id="5"/>
      <w:r>
        <w:rPr>
          <w:rFonts w:hint="eastAsia" w:ascii="黑体" w:hAnsi="黑体" w:eastAsia="黑体" w:cs="宋体"/>
          <w:color w:val="000000"/>
          <w:kern w:val="0"/>
          <w:sz w:val="24"/>
          <w:szCs w:val="18"/>
          <w:lang w:bidi="ar"/>
        </w:rPr>
        <w:t xml:space="preserve"> </w:t>
      </w:r>
    </w:p>
    <w:p>
      <w:pPr>
        <w:widowControl/>
        <w:jc w:val="left"/>
      </w:pPr>
      <w:r>
        <w:rPr>
          <w:rFonts w:hint="eastAsia" w:ascii="宋体" w:hAnsi="宋体" w:eastAsia="宋体" w:cs="宋体"/>
          <w:color w:val="000000"/>
          <w:kern w:val="0"/>
          <w:szCs w:val="21"/>
          <w:lang w:bidi="ar"/>
        </w:rPr>
        <w:t>首创精准定位算法系统，率先将精度 2-5mm 提高到&lt;1mm, 成功实现其在手术导航中的应用，这一精度范围比国际公认精度要求高出 1 倍，实现精准医疗，获得满意的临床成效 。</w:t>
      </w:r>
    </w:p>
    <w:p>
      <w:pPr>
        <w:pStyle w:val="4"/>
        <w:rPr>
          <w:rFonts w:ascii="黑体" w:hAnsi="黑体" w:eastAsia="黑体"/>
        </w:rPr>
      </w:pPr>
      <w:bookmarkStart w:id="6" w:name="_Toc132368918"/>
      <w:r>
        <w:rPr>
          <w:rFonts w:ascii="黑体" w:hAnsi="黑体" w:eastAsia="黑体" w:cs="宋体"/>
          <w:b w:val="0"/>
          <w:bCs w:val="0"/>
          <w:color w:val="000000"/>
          <w:kern w:val="0"/>
          <w:sz w:val="24"/>
          <w:szCs w:val="18"/>
          <w:lang w:bidi="ar"/>
        </w:rPr>
        <w:t>1</w:t>
      </w:r>
      <w:r>
        <w:rPr>
          <w:rFonts w:hint="eastAsia" w:ascii="黑体" w:hAnsi="黑体" w:eastAsia="黑体" w:cs="宋体"/>
          <w:color w:val="000000"/>
          <w:kern w:val="0"/>
          <w:sz w:val="24"/>
          <w:szCs w:val="18"/>
          <w:lang w:bidi="ar"/>
        </w:rPr>
        <w:t>.3.3 监测实时化</w:t>
      </w:r>
      <w:bookmarkEnd w:id="6"/>
      <w:r>
        <w:rPr>
          <w:rFonts w:hint="eastAsia" w:ascii="黑体" w:hAnsi="黑体" w:eastAsia="黑体" w:cs="宋体"/>
          <w:color w:val="000000"/>
          <w:kern w:val="0"/>
          <w:szCs w:val="21"/>
          <w:lang w:bidi="ar"/>
        </w:rPr>
        <w:t xml:space="preserve"> </w:t>
      </w:r>
    </w:p>
    <w:p>
      <w:pPr>
        <w:widowControl/>
        <w:jc w:val="left"/>
      </w:pPr>
      <w:r>
        <w:rPr>
          <w:rFonts w:hint="eastAsia" w:ascii="宋体" w:hAnsi="宋体" w:eastAsia="宋体" w:cs="宋体"/>
          <w:color w:val="000000"/>
          <w:kern w:val="0"/>
          <w:szCs w:val="21"/>
          <w:lang w:bidi="ar"/>
        </w:rPr>
        <w:t xml:space="preserve">原创图像还原算法，实现二维图像高仿真精准还原，对患者而进行实时化检测，打破传统检测方法的现状。同时三维图像显示降低了对医生空间定位能力的要求，防止误判，有助于术中手眼协调。 </w:t>
      </w:r>
    </w:p>
    <w:p>
      <w:pPr>
        <w:pStyle w:val="4"/>
        <w:rPr>
          <w:rFonts w:ascii="黑体" w:hAnsi="黑体" w:eastAsia="黑体"/>
          <w:b w:val="0"/>
          <w:bCs w:val="0"/>
          <w:sz w:val="24"/>
          <w:szCs w:val="24"/>
        </w:rPr>
      </w:pPr>
      <w:bookmarkStart w:id="7" w:name="_Toc132368919"/>
      <w:r>
        <w:rPr>
          <w:rFonts w:ascii="黑体" w:hAnsi="黑体" w:eastAsia="黑体" w:cs="宋体"/>
          <w:b w:val="0"/>
          <w:bCs w:val="0"/>
          <w:color w:val="000000"/>
          <w:kern w:val="0"/>
          <w:sz w:val="24"/>
          <w:szCs w:val="18"/>
          <w:lang w:bidi="ar"/>
        </w:rPr>
        <w:t>1</w:t>
      </w:r>
      <w:r>
        <w:rPr>
          <w:rFonts w:hint="eastAsia" w:ascii="黑体" w:hAnsi="黑体" w:eastAsia="黑体" w:cs="宋体"/>
          <w:b w:val="0"/>
          <w:bCs w:val="0"/>
          <w:color w:val="000000"/>
          <w:kern w:val="0"/>
          <w:sz w:val="24"/>
          <w:szCs w:val="18"/>
          <w:lang w:bidi="ar"/>
        </w:rPr>
        <w:t>.3.4 检测便捷化</w:t>
      </w:r>
      <w:bookmarkEnd w:id="7"/>
      <w:r>
        <w:rPr>
          <w:rFonts w:hint="eastAsia" w:ascii="黑体" w:hAnsi="黑体" w:eastAsia="黑体" w:cs="宋体"/>
          <w:b w:val="0"/>
          <w:bCs w:val="0"/>
          <w:color w:val="000000"/>
          <w:kern w:val="0"/>
          <w:sz w:val="24"/>
          <w:szCs w:val="18"/>
          <w:lang w:bidi="ar"/>
        </w:rPr>
        <w:t xml:space="preserve"> </w:t>
      </w:r>
    </w:p>
    <w:p>
      <w:pPr>
        <w:widowControl/>
        <w:jc w:val="left"/>
      </w:pPr>
      <w:r>
        <w:rPr>
          <w:rFonts w:hint="eastAsia" w:ascii="宋体" w:hAnsi="宋体" w:eastAsia="宋体" w:cs="宋体"/>
          <w:color w:val="000000"/>
          <w:kern w:val="0"/>
          <w:szCs w:val="21"/>
          <w:lang w:bidi="ar"/>
        </w:rPr>
        <w:t xml:space="preserve">生成三维图像以实现组织结构清晰可辨，在患者无需移动的基础上实现实时深层次的观察，患者术后健康监测难度和成本大大降低，减少移动导致的炎症加重几率。 </w:t>
      </w:r>
    </w:p>
    <w:p>
      <w:pPr>
        <w:pStyle w:val="25"/>
        <w:widowControl/>
        <w:numPr>
          <w:ilvl w:val="2"/>
          <w:numId w:val="1"/>
        </w:numPr>
        <w:spacing w:before="260" w:after="260" w:line="415" w:lineRule="auto"/>
        <w:ind w:firstLineChars="0"/>
        <w:jc w:val="left"/>
        <w:outlineLvl w:val="2"/>
        <w:rPr>
          <w:rFonts w:ascii="黑体" w:hAnsi="黑体" w:eastAsia="黑体"/>
          <w:sz w:val="24"/>
          <w:szCs w:val="32"/>
        </w:rPr>
      </w:pPr>
      <w:bookmarkStart w:id="8" w:name="_Toc132368920"/>
      <w:r>
        <w:rPr>
          <w:rFonts w:hint="eastAsia" w:ascii="黑体" w:hAnsi="黑体" w:eastAsia="黑体" w:cs="宋体"/>
          <w:color w:val="000000"/>
          <w:kern w:val="0"/>
          <w:sz w:val="24"/>
          <w:lang w:bidi="ar"/>
        </w:rPr>
        <w:t>安全</w:t>
      </w:r>
      <w:r>
        <w:rPr>
          <w:rFonts w:ascii="黑体" w:hAnsi="黑体" w:eastAsia="黑体" w:cs="宋体"/>
          <w:color w:val="000000"/>
          <w:kern w:val="0"/>
          <w:sz w:val="24"/>
          <w:lang w:bidi="ar"/>
        </w:rPr>
        <w:t>无</w:t>
      </w:r>
      <w:r>
        <w:rPr>
          <w:rFonts w:hint="eastAsia" w:ascii="黑体" w:hAnsi="黑体" w:eastAsia="黑体" w:cs="宋体"/>
          <w:color w:val="000000"/>
          <w:kern w:val="0"/>
          <w:sz w:val="24"/>
          <w:lang w:bidi="ar"/>
        </w:rPr>
        <w:t>辐射</w:t>
      </w:r>
      <w:bookmarkEnd w:id="8"/>
    </w:p>
    <w:p>
      <w:pPr>
        <w:widowControl/>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首次实现基于微电流构建二维图像的叠加即可完成三维重建，与核磁方法相比大大降低了辐射量和辐射对人体造成的危害；并可连续检测积液状况，减少了患者反复摄片确认次数，可减少超 80%的辐射量，使一次操作辐射降到最小。 </w:t>
      </w:r>
    </w:p>
    <w:p>
      <w:pPr>
        <w:widowControl/>
        <w:jc w:val="left"/>
        <w:rPr>
          <w:rFonts w:ascii="宋体" w:hAnsi="宋体" w:eastAsia="宋体" w:cs="宋体"/>
          <w:color w:val="000000"/>
          <w:kern w:val="0"/>
          <w:szCs w:val="21"/>
          <w:lang w:bidi="ar"/>
        </w:rPr>
      </w:pPr>
    </w:p>
    <w:p>
      <w:pPr>
        <w:pStyle w:val="3"/>
        <w:rPr>
          <w:rFonts w:ascii="黑体" w:hAnsi="黑体"/>
          <w:sz w:val="24"/>
        </w:rPr>
      </w:pPr>
      <w:bookmarkStart w:id="9" w:name="_Toc132368921"/>
      <w:r>
        <w:rPr>
          <w:rFonts w:ascii="黑体" w:hAnsi="黑体" w:cs="宋体"/>
          <w:color w:val="000000"/>
          <w:kern w:val="0"/>
          <w:sz w:val="24"/>
          <w:lang w:bidi="ar"/>
        </w:rPr>
        <w:t>1</w:t>
      </w:r>
      <w:r>
        <w:rPr>
          <w:rFonts w:hint="eastAsia" w:ascii="黑体" w:hAnsi="黑体" w:cs="宋体"/>
          <w:color w:val="000000"/>
          <w:kern w:val="0"/>
          <w:sz w:val="24"/>
          <w:lang w:bidi="ar"/>
        </w:rPr>
        <w:t>.4</w:t>
      </w:r>
      <w:r>
        <w:rPr>
          <w:rFonts w:hint="eastAsia" w:ascii="黑体" w:hAnsi="黑体"/>
          <w:sz w:val="24"/>
        </w:rPr>
        <w:t>竞争优势</w:t>
      </w:r>
      <w:bookmarkEnd w:id="9"/>
    </w:p>
    <w:p>
      <w:pPr>
        <w:widowControl/>
        <w:ind w:firstLine="420"/>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现阶段很多生物电阻抗技术应用于关节积液检测领域还处于试验阶段，国产检测仪器还存在着一些问题，诸如结果过于繁复不易操控；应用电机过多，导致整机结构十分笨重不易携带，必须通过医院渠道得到检测结果；数据过复杂，患者难以直观了解检测结果；价格过于昂贵（进口产品一套 20万元人民币），导致患者和康复机构和大部分医院无法承担等。而医院目前的检测手段以超声检查、核磁检查为主，该检查一次 400 元，且关节疾病有周期长、发病频率高的特点，这种治疗费时费力并加大了对医疗资源的压力。 </w:t>
      </w:r>
    </w:p>
    <w:p>
      <w:pPr>
        <w:widowControl/>
        <w:ind w:firstLine="420"/>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在我国老龄化进程加剧的今天，随着</w:t>
      </w:r>
      <w:r>
        <w:rPr>
          <w:rFonts w:ascii="宋体" w:hAnsi="宋体" w:eastAsia="宋体" w:cs="宋体"/>
          <w:color w:val="000000"/>
          <w:kern w:val="0"/>
          <w:szCs w:val="21"/>
          <w:lang w:bidi="ar"/>
        </w:rPr>
        <w:t>“</w:t>
      </w:r>
      <w:r>
        <w:rPr>
          <w:rFonts w:hint="eastAsia" w:ascii="宋体" w:hAnsi="宋体" w:eastAsia="宋体" w:cs="宋体"/>
          <w:color w:val="000000"/>
          <w:kern w:val="0"/>
          <w:szCs w:val="21"/>
          <w:lang w:bidi="ar"/>
        </w:rPr>
        <w:t>十二五</w:t>
      </w:r>
      <w:r>
        <w:rPr>
          <w:rFonts w:ascii="宋体" w:hAnsi="宋体" w:eastAsia="宋体" w:cs="宋体"/>
          <w:color w:val="000000"/>
          <w:kern w:val="0"/>
          <w:szCs w:val="21"/>
          <w:lang w:bidi="ar"/>
        </w:rPr>
        <w:t>”</w:t>
      </w:r>
      <w:r>
        <w:rPr>
          <w:rFonts w:hint="eastAsia" w:ascii="宋体" w:hAnsi="宋体" w:eastAsia="宋体" w:cs="宋体"/>
          <w:color w:val="000000"/>
          <w:kern w:val="0"/>
          <w:szCs w:val="21"/>
          <w:lang w:bidi="ar"/>
        </w:rPr>
        <w:t>计划推进国家老龄事业发展的号召，我国急需更多的康复器械以提高老年人的健康状况和生活质量。此在项目推广过程中，公司应显出自己技术优势和成本优势，将突破口放在江浙沪这些老龄化严重的发达地区。这些地区对关节积液检测有一定的需求，但以个人资金实力无力购买昂贵的进口设备，国内现有的其它技术又不完善，而我公司开发的这项技术正好满足了这一部分市场的需要，填补了目前的市场空白，必将受到当地政府的支持和欢迎。</w:t>
      </w:r>
    </w:p>
    <w:p>
      <w:pPr>
        <w:widowControl/>
        <w:jc w:val="left"/>
        <w:rPr>
          <w:rFonts w:ascii="宋体" w:hAnsi="宋体" w:eastAsia="宋体" w:cs="宋体"/>
          <w:color w:val="000000"/>
          <w:kern w:val="0"/>
          <w:szCs w:val="21"/>
          <w:lang w:bidi="ar"/>
        </w:rPr>
      </w:pPr>
    </w:p>
    <w:p>
      <w:pPr>
        <w:pStyle w:val="3"/>
        <w:rPr>
          <w:rFonts w:ascii="黑体" w:hAnsi="黑体" w:cs="宋体"/>
          <w:color w:val="000000"/>
          <w:kern w:val="0"/>
          <w:sz w:val="24"/>
          <w:lang w:bidi="ar"/>
        </w:rPr>
      </w:pPr>
      <w:bookmarkStart w:id="10" w:name="_Toc132368922"/>
      <w:r>
        <w:rPr>
          <w:rFonts w:ascii="黑体" w:hAnsi="黑体" w:cs="宋体"/>
          <w:color w:val="000000"/>
          <w:kern w:val="0"/>
          <w:sz w:val="24"/>
          <w:lang w:bidi="ar"/>
        </w:rPr>
        <w:t>1</w:t>
      </w:r>
      <w:r>
        <w:rPr>
          <w:rFonts w:hint="eastAsia" w:ascii="黑体" w:hAnsi="黑体" w:cs="宋体"/>
          <w:color w:val="000000"/>
          <w:kern w:val="0"/>
          <w:sz w:val="24"/>
          <w:lang w:bidi="ar"/>
        </w:rPr>
        <w:t>.5</w:t>
      </w:r>
      <w:r>
        <w:rPr>
          <w:rFonts w:ascii="黑体" w:hAnsi="黑体" w:cs="宋体"/>
          <w:color w:val="000000"/>
          <w:kern w:val="0"/>
          <w:sz w:val="24"/>
          <w:lang w:bidi="ar"/>
        </w:rPr>
        <w:t xml:space="preserve"> </w:t>
      </w:r>
      <w:r>
        <w:rPr>
          <w:rFonts w:hint="eastAsia" w:ascii="黑体" w:hAnsi="黑体"/>
          <w:sz w:val="24"/>
        </w:rPr>
        <w:t>服务</w:t>
      </w:r>
      <w:bookmarkEnd w:id="10"/>
    </w:p>
    <w:p>
      <w:pPr>
        <w:widowControl/>
        <w:jc w:val="left"/>
      </w:pPr>
      <w:r>
        <w:rPr>
          <w:rFonts w:hint="eastAsia" w:ascii="宋体" w:hAnsi="宋体" w:eastAsia="宋体" w:cs="宋体"/>
          <w:color w:val="000000"/>
          <w:kern w:val="0"/>
          <w:szCs w:val="21"/>
          <w:lang w:bidi="ar"/>
        </w:rPr>
        <w:t>提供全面的售前、售中、售后服务工作，及时解决各环节出现的问题：</w:t>
      </w:r>
    </w:p>
    <w:p>
      <w:pPr>
        <w:widowControl/>
        <w:jc w:val="left"/>
      </w:pPr>
      <w:r>
        <w:rPr>
          <w:rFonts w:ascii="宋体" w:hAnsi="宋体" w:eastAsia="宋体" w:cs="宋体"/>
          <w:color w:val="000000"/>
          <w:kern w:val="0"/>
          <w:szCs w:val="21"/>
          <w:lang w:bidi="ar"/>
        </w:rPr>
        <w:t>1</w:t>
      </w:r>
      <w:r>
        <w:rPr>
          <w:rFonts w:hint="eastAsia" w:ascii="宋体" w:hAnsi="宋体" w:eastAsia="宋体" w:cs="宋体"/>
          <w:color w:val="000000"/>
          <w:kern w:val="0"/>
          <w:szCs w:val="21"/>
          <w:lang w:bidi="ar"/>
        </w:rPr>
        <w:t xml:space="preserve">.5.1 售前：严格进行质量监管，保证医疗器械的绝对高质量 </w:t>
      </w:r>
    </w:p>
    <w:p>
      <w:pPr>
        <w:widowControl/>
        <w:jc w:val="left"/>
      </w:pPr>
      <w:r>
        <w:rPr>
          <w:rFonts w:ascii="宋体" w:hAnsi="宋体" w:eastAsia="宋体" w:cs="宋体"/>
          <w:color w:val="000000"/>
          <w:kern w:val="0"/>
          <w:szCs w:val="21"/>
          <w:lang w:bidi="ar"/>
        </w:rPr>
        <w:t>1</w:t>
      </w:r>
      <w:r>
        <w:rPr>
          <w:rFonts w:hint="eastAsia" w:ascii="宋体" w:hAnsi="宋体" w:eastAsia="宋体" w:cs="宋体"/>
          <w:color w:val="000000"/>
          <w:kern w:val="0"/>
          <w:szCs w:val="21"/>
          <w:lang w:bidi="ar"/>
        </w:rPr>
        <w:t xml:space="preserve">.5.2 售中 </w:t>
      </w:r>
    </w:p>
    <w:p>
      <w:pPr>
        <w:widowControl/>
        <w:ind w:firstLine="420"/>
        <w:jc w:val="left"/>
      </w:pPr>
      <w:r>
        <w:rPr>
          <w:rFonts w:hint="eastAsia" w:ascii="宋体" w:hAnsi="宋体" w:eastAsia="宋体" w:cs="宋体"/>
          <w:color w:val="000000"/>
          <w:kern w:val="0"/>
          <w:szCs w:val="21"/>
          <w:lang w:bidi="ar"/>
        </w:rPr>
        <w:t>1) 正确介绍本器械及配套app的用途，避免误导用户。</w:t>
      </w:r>
    </w:p>
    <w:p>
      <w:pPr>
        <w:widowControl/>
        <w:ind w:firstLine="420"/>
        <w:jc w:val="left"/>
      </w:pPr>
      <w:r>
        <w:rPr>
          <w:rFonts w:hint="eastAsia" w:ascii="宋体" w:hAnsi="宋体" w:eastAsia="宋体" w:cs="宋体"/>
          <w:color w:val="000000"/>
          <w:kern w:val="0"/>
          <w:szCs w:val="21"/>
          <w:lang w:bidi="ar"/>
        </w:rPr>
        <w:t>2) 做好销售记录，以便进行售后服务：应当记录销售产品名称、规格型号、生产日期、 出厂编号、销售日期、销售单位、销售数量、经办人等详细信息，并将销售记录保存至产品使用期限过后一年以上。</w:t>
      </w:r>
    </w:p>
    <w:p>
      <w:pPr>
        <w:widowControl/>
        <w:ind w:firstLine="420"/>
        <w:jc w:val="left"/>
      </w:pPr>
      <w:r>
        <w:rPr>
          <w:rFonts w:hint="eastAsia" w:ascii="宋体" w:hAnsi="宋体" w:eastAsia="宋体" w:cs="宋体"/>
          <w:color w:val="000000"/>
          <w:kern w:val="0"/>
          <w:szCs w:val="21"/>
          <w:lang w:bidi="ar"/>
        </w:rPr>
        <w:t>3) 开具合法发票。</w:t>
      </w:r>
    </w:p>
    <w:p>
      <w:pPr>
        <w:widowControl/>
        <w:jc w:val="left"/>
      </w:pPr>
      <w:r>
        <w:rPr>
          <w:rFonts w:ascii="宋体" w:hAnsi="宋体" w:eastAsia="宋体" w:cs="宋体"/>
          <w:color w:val="000000"/>
          <w:kern w:val="0"/>
          <w:szCs w:val="21"/>
          <w:lang w:bidi="ar"/>
        </w:rPr>
        <w:t>1</w:t>
      </w:r>
      <w:r>
        <w:rPr>
          <w:rFonts w:hint="eastAsia" w:ascii="宋体" w:hAnsi="宋体" w:eastAsia="宋体" w:cs="宋体"/>
          <w:color w:val="000000"/>
          <w:kern w:val="0"/>
          <w:szCs w:val="21"/>
          <w:lang w:bidi="ar"/>
        </w:rPr>
        <w:t xml:space="preserve">.5.3 售后 </w:t>
      </w:r>
    </w:p>
    <w:p>
      <w:pPr>
        <w:widowControl/>
        <w:ind w:firstLine="420"/>
        <w:jc w:val="left"/>
      </w:pPr>
      <w:r>
        <w:rPr>
          <w:rFonts w:hint="eastAsia" w:ascii="宋体" w:hAnsi="宋体" w:eastAsia="宋体" w:cs="宋体"/>
          <w:color w:val="000000"/>
          <w:kern w:val="0"/>
          <w:szCs w:val="21"/>
          <w:lang w:bidi="ar"/>
        </w:rPr>
        <w:t xml:space="preserve">1) 开展用户访问，积极做好售后服务工作，及时向质管员反馈客户质量查询、投诉信 </w:t>
      </w:r>
    </w:p>
    <w:p>
      <w:pPr>
        <w:widowControl/>
        <w:jc w:val="left"/>
      </w:pPr>
      <w:r>
        <w:rPr>
          <w:rFonts w:hint="eastAsia" w:ascii="宋体" w:hAnsi="宋体" w:eastAsia="宋体" w:cs="宋体"/>
          <w:color w:val="000000"/>
          <w:kern w:val="0"/>
          <w:szCs w:val="21"/>
          <w:lang w:bidi="ar"/>
        </w:rPr>
        <w:t xml:space="preserve">息以及销售过程中发现的质量问题，并落实相关质量改进措施，对客户意见进行追 </w:t>
      </w:r>
    </w:p>
    <w:p>
      <w:pPr>
        <w:widowControl/>
        <w:jc w:val="left"/>
      </w:pPr>
      <w:r>
        <w:rPr>
          <w:rFonts w:hint="eastAsia" w:ascii="宋体" w:hAnsi="宋体" w:eastAsia="宋体" w:cs="宋体"/>
          <w:color w:val="000000"/>
          <w:kern w:val="0"/>
          <w:szCs w:val="21"/>
          <w:lang w:bidi="ar"/>
        </w:rPr>
        <w:t xml:space="preserve">踪了解。 </w:t>
      </w:r>
    </w:p>
    <w:p>
      <w:pPr>
        <w:widowControl/>
        <w:ind w:firstLine="420"/>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2）建立合理的退货机制，并进行详细记录。记录内容应该包括：产品名称、供货单位、规格型号、出厂编号、生产日期、退货单位、退货日期、退货数量、退货原因、处理结果等。</w:t>
      </w:r>
    </w:p>
    <w:p>
      <w:pPr>
        <w:widowControl/>
        <w:ind w:firstLine="420"/>
        <w:jc w:val="left"/>
      </w:pPr>
      <w:r>
        <w:rPr>
          <w:rFonts w:hint="eastAsia" w:ascii="宋体" w:hAnsi="宋体" w:eastAsia="宋体" w:cs="宋体"/>
          <w:color w:val="000000"/>
          <w:kern w:val="0"/>
          <w:szCs w:val="21"/>
          <w:lang w:bidi="ar"/>
        </w:rPr>
        <w:t>3) 为用户提供产品检修及培训系统软件拓展更新服务。</w:t>
      </w:r>
    </w:p>
    <w:p>
      <w:pPr>
        <w:outlineLvl w:val="0"/>
      </w:pPr>
    </w:p>
    <w:p>
      <w:pPr>
        <w:tabs>
          <w:tab w:val="left" w:pos="312"/>
        </w:tabs>
        <w:rPr>
          <w:rFonts w:ascii="Helvetica" w:hAnsi="Helvetica" w:eastAsia="宋体" w:cs="Helvetica"/>
          <w:color w:val="6D6D6D"/>
          <w:sz w:val="16"/>
          <w:szCs w:val="16"/>
          <w:shd w:val="clear" w:color="auto" w:fill="FFFFFF"/>
        </w:rPr>
      </w:pPr>
    </w:p>
    <w:p>
      <w:pPr>
        <w:pStyle w:val="2"/>
        <w:rPr>
          <w:rFonts w:ascii="黑体" w:hAnsi="黑体" w:eastAsia="黑体"/>
          <w:sz w:val="28"/>
          <w:szCs w:val="28"/>
        </w:rPr>
      </w:pPr>
      <w:bookmarkStart w:id="11" w:name="_Toc132368923"/>
      <w:r>
        <w:rPr>
          <w:rFonts w:ascii="黑体" w:hAnsi="黑体" w:eastAsia="黑体"/>
          <w:sz w:val="28"/>
          <w:szCs w:val="28"/>
        </w:rPr>
        <w:t xml:space="preserve">2 </w:t>
      </w:r>
      <w:r>
        <w:rPr>
          <w:rFonts w:hint="eastAsia" w:ascii="黑体" w:hAnsi="黑体" w:eastAsia="黑体"/>
          <w:sz w:val="28"/>
          <w:szCs w:val="28"/>
        </w:rPr>
        <w:t>市场分析</w:t>
      </w:r>
      <w:bookmarkEnd w:id="11"/>
    </w:p>
    <w:p>
      <w:pPr>
        <w:pStyle w:val="25"/>
        <w:numPr>
          <w:ilvl w:val="1"/>
          <w:numId w:val="2"/>
        </w:numPr>
        <w:tabs>
          <w:tab w:val="left" w:pos="312"/>
        </w:tabs>
        <w:ind w:firstLineChars="0"/>
        <w:outlineLvl w:val="1"/>
        <w:rPr>
          <w:rFonts w:ascii="黑体" w:hAnsi="黑体" w:eastAsia="黑体"/>
          <w:sz w:val="36"/>
          <w:szCs w:val="36"/>
        </w:rPr>
      </w:pPr>
      <w:bookmarkStart w:id="12" w:name="_Toc132368924"/>
      <w:r>
        <w:rPr>
          <w:rFonts w:hint="eastAsia" w:ascii="黑体" w:hAnsi="黑体" w:eastAsia="黑体"/>
          <w:sz w:val="24"/>
          <w:szCs w:val="32"/>
        </w:rPr>
        <w:t>PEST（宏观环境分析）</w:t>
      </w:r>
      <w:bookmarkEnd w:id="12"/>
    </w:p>
    <w:p>
      <w:pPr>
        <w:pStyle w:val="4"/>
        <w:rPr>
          <w:rFonts w:ascii="黑体" w:hAnsi="黑体" w:eastAsia="黑体"/>
          <w:b w:val="0"/>
          <w:bCs w:val="0"/>
          <w:sz w:val="28"/>
          <w:szCs w:val="28"/>
        </w:rPr>
      </w:pPr>
      <w:bookmarkStart w:id="13" w:name="_Toc132368925"/>
      <w:r>
        <w:rPr>
          <w:rFonts w:hint="eastAsia" w:ascii="黑体" w:hAnsi="黑体" w:eastAsia="黑体"/>
          <w:b w:val="0"/>
          <w:bCs w:val="0"/>
          <w:sz w:val="24"/>
          <w:szCs w:val="24"/>
        </w:rPr>
        <w:t>2</w:t>
      </w:r>
      <w:r>
        <w:rPr>
          <w:rFonts w:ascii="黑体" w:hAnsi="黑体" w:eastAsia="黑体"/>
          <w:b w:val="0"/>
          <w:bCs w:val="0"/>
          <w:sz w:val="24"/>
          <w:szCs w:val="24"/>
        </w:rPr>
        <w:t xml:space="preserve">.1.1 </w:t>
      </w:r>
      <w:r>
        <w:rPr>
          <w:rFonts w:hint="eastAsia" w:ascii="黑体" w:hAnsi="黑体" w:eastAsia="黑体"/>
          <w:b w:val="0"/>
          <w:bCs w:val="0"/>
          <w:sz w:val="24"/>
          <w:szCs w:val="24"/>
        </w:rPr>
        <w:t>政策环境</w:t>
      </w:r>
      <w:bookmarkEnd w:id="13"/>
    </w:p>
    <w:p>
      <w:pPr>
        <w:ind w:firstLine="562"/>
        <w:rPr>
          <w:b/>
          <w:bCs/>
        </w:rPr>
      </w:pPr>
      <w:r>
        <w:rPr>
          <w:rFonts w:hint="eastAsia"/>
          <w:b/>
          <w:bCs/>
        </w:rPr>
        <w:t>（1）响应党和国家的号召，推进健康优先发展制度体系建设：</w:t>
      </w:r>
    </w:p>
    <w:p>
      <w:pPr>
        <w:ind w:firstLine="560"/>
        <w:jc w:val="center"/>
      </w:pPr>
      <w:r>
        <w:drawing>
          <wp:inline distT="0" distB="0" distL="114300" distR="114300">
            <wp:extent cx="4706620" cy="2332355"/>
            <wp:effectExtent l="0" t="0" r="5080" b="4445"/>
            <wp:docPr id="7" name="图片 7" descr="[健康报] 突出健康优先发展制度体系建设 - 中华人民共和国国家卫生健康委员会 和另外 9 个页面 - 个人 - Microsoft​ Edge 2023_4_12 1_46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健康报] 突出健康优先发展制度体系建设 - 中华人民共和国国家卫生健康委员会 和另外 9 个页面 - 个人 - Microsoft​ Edge 2023_4_12 1_46_30"/>
                    <pic:cNvPicPr>
                      <a:picLocks noChangeAspect="1"/>
                    </pic:cNvPicPr>
                  </pic:nvPicPr>
                  <pic:blipFill>
                    <a:blip r:embed="rId9"/>
                    <a:srcRect l="3123" t="16211" r="7511" b="-551"/>
                    <a:stretch>
                      <a:fillRect/>
                    </a:stretch>
                  </pic:blipFill>
                  <pic:spPr>
                    <a:xfrm>
                      <a:off x="0" y="0"/>
                      <a:ext cx="4706620" cy="2332355"/>
                    </a:xfrm>
                    <a:prstGeom prst="rect">
                      <a:avLst/>
                    </a:prstGeom>
                  </pic:spPr>
                </pic:pic>
              </a:graphicData>
            </a:graphic>
          </wp:inline>
        </w:drawing>
      </w:r>
    </w:p>
    <w:p>
      <w:pPr>
        <w:pStyle w:val="5"/>
        <w:ind w:firstLine="400"/>
      </w:pPr>
    </w:p>
    <w:p>
      <w:pPr>
        <w:pStyle w:val="5"/>
        <w:ind w:firstLine="400"/>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1</w:t>
      </w:r>
      <w:r>
        <w:fldChar w:fldCharType="end"/>
      </w:r>
      <w:r>
        <w:rPr>
          <w:rFonts w:hint="eastAsia"/>
        </w:rPr>
        <w:t>健康中国政策</w:t>
      </w:r>
    </w:p>
    <w:p>
      <w:pPr>
        <w:ind w:firstLine="560"/>
      </w:pPr>
      <w:r>
        <w:t>人民健康是现代化最重要的指标，也是人民幸福生活的基础。党的二十大报告提出，把保障人民健康放在优先发展的战略位置，完善人民健康促进政策。把“优先”二字写在卫生健康事业发展的旗帜上，这就要求从影响健康因素的广泛性出发，关注生命全周期、健康全过程，将健康作为制定实施各项公共政策的重要考量，突出健康优先发展制度体系建设，统筹调配全社会卫生健康资源，将维护人民健康的范畴从疾病防治拓展到影响健康的各个领域，实现健康与经济社会协调发展</w:t>
      </w:r>
      <w:r>
        <w:rPr>
          <w:rFonts w:hint="eastAsia"/>
        </w:rPr>
        <w:t>。本公司积极相应国家健康建设政策，投入研究EIT系统，推动关节积液检测进一步发展。</w:t>
      </w:r>
    </w:p>
    <w:p>
      <w:pPr>
        <w:numPr>
          <w:ilvl w:val="0"/>
          <w:numId w:val="3"/>
        </w:numPr>
        <w:ind w:firstLine="422" w:firstLineChars="200"/>
        <w:rPr>
          <w:b/>
          <w:bCs/>
        </w:rPr>
      </w:pPr>
      <w:r>
        <w:rPr>
          <w:b/>
          <w:bCs/>
        </w:rPr>
        <w:t>我国医改政策推动行业扩容</w:t>
      </w:r>
    </w:p>
    <w:p>
      <w:r>
        <w:t>2009年的《医药卫生体制改革近期重点实施方案》对医疗健康行业产生深远影响</w:t>
      </w:r>
      <w:r>
        <w:rPr>
          <w:rFonts w:hint="eastAsia"/>
        </w:rPr>
        <w:t>，</w:t>
      </w:r>
      <w:r>
        <w:t>推动行业健康、有序、规范的发展。在医疗改革的推动下，我国医疗服务市场逐步开放，使得国内外资本投资中国医疗服务产业的速度加快，</w:t>
      </w:r>
      <w:r>
        <w:rPr>
          <w:rFonts w:hint="eastAsia"/>
        </w:rPr>
        <w:t>我国医疗技术不断得到提高和创新，</w:t>
      </w:r>
      <w:r>
        <w:t>各类医疗机构数目稳步增长，未来预计将保持持续增长。</w:t>
      </w:r>
    </w:p>
    <w:p>
      <w:r>
        <w:t>2015年</w:t>
      </w:r>
      <w:r>
        <w:rPr>
          <w:rFonts w:hint="eastAsia"/>
        </w:rPr>
        <w:t>的</w:t>
      </w:r>
      <w:r>
        <w:t>《关于推进分级诊疗制度建设的指导意见》，加快推进</w:t>
      </w:r>
      <w:r>
        <w:rPr>
          <w:rFonts w:hint="eastAsia"/>
        </w:rPr>
        <w:t>了</w:t>
      </w:r>
      <w:r>
        <w:t>分级诊疗制度建设，形成科学有序就医格局。随着基层医疗机构发展及现有医疗卫生机构装备的更新换代需求，中国成为巨大的医疗器械消费市场。在市场需求的刺激和中国经济持续稳定增长的背景下，我国的医疗器械产业发展迅速，在整个医疗行业中的重要地位越发凸</w:t>
      </w:r>
      <w:r>
        <w:rPr>
          <w:rFonts w:hint="eastAsia"/>
        </w:rPr>
        <w:t>显。以往的许多EIT系统对仪器精密度要求极高，仪器笨重且昂贵，本公司设计的便携式电阻抗层析成像系统性价比更高，有利于推广运用，更好满足行业需求。</w:t>
      </w:r>
    </w:p>
    <w:p>
      <w:pPr>
        <w:numPr>
          <w:ilvl w:val="0"/>
          <w:numId w:val="3"/>
        </w:numPr>
        <w:rPr>
          <w:b/>
          <w:bCs/>
        </w:rPr>
      </w:pPr>
      <w:r>
        <w:rPr>
          <w:b/>
          <w:bCs/>
        </w:rPr>
        <w:t>国产医疗器械频迎政策利好</w:t>
      </w:r>
    </w:p>
    <w:p>
      <w:pPr>
        <w:ind w:firstLine="560"/>
      </w:pPr>
      <w:r>
        <w:rPr>
          <w:rFonts w:hint="eastAsia"/>
        </w:rPr>
        <w:t>2021年12月，《“十四五”医疗装备产业发展规划》发布，这也是国家层面推动医疗装备产业发展的首个规划。规划明确，要着力突破技术装备瓶颈，加快补齐高端医疗装备短板，积极推动产业高质量发展。到2035年，我国医疗装备的研发、制造、应用提升至世界先进水平，我国进入医疗装备创新型国家前列。</w:t>
      </w:r>
    </w:p>
    <w:p>
      <w:pPr>
        <w:ind w:firstLine="560"/>
      </w:pPr>
      <w:r>
        <w:rPr>
          <w:rFonts w:hint="eastAsia"/>
        </w:rPr>
        <w:t>2022年9月1日，国家医保局公开《对十三届全国人大五次会议第8427号建议的答复》，其中谈到，耗材带量采购“支持同等质量但成本较低的国内优质企业在竞争中取胜”。</w:t>
      </w:r>
    </w:p>
    <w:p>
      <w:pPr>
        <w:ind w:firstLine="480"/>
        <w:jc w:val="center"/>
        <w:rPr>
          <w:rFonts w:ascii="宋体" w:hAnsi="宋体" w:cs="宋体"/>
          <w:sz w:val="24"/>
        </w:rPr>
      </w:pPr>
      <w:r>
        <w:rPr>
          <w:rFonts w:ascii="宋体" w:hAnsi="宋体" w:cs="宋体"/>
          <w:sz w:val="24"/>
        </w:rPr>
        <w:drawing>
          <wp:inline distT="0" distB="0" distL="114300" distR="114300">
            <wp:extent cx="4065905" cy="1326515"/>
            <wp:effectExtent l="0" t="0" r="10795" b="6985"/>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10"/>
                    <a:stretch>
                      <a:fillRect/>
                    </a:stretch>
                  </pic:blipFill>
                  <pic:spPr>
                    <a:xfrm>
                      <a:off x="0" y="0"/>
                      <a:ext cx="4065905" cy="1326515"/>
                    </a:xfrm>
                    <a:prstGeom prst="rect">
                      <a:avLst/>
                    </a:prstGeom>
                    <a:noFill/>
                    <a:ln w="9525">
                      <a:noFill/>
                    </a:ln>
                  </pic:spPr>
                </pic:pic>
              </a:graphicData>
            </a:graphic>
          </wp:inline>
        </w:drawing>
      </w:r>
    </w:p>
    <w:p>
      <w:pPr>
        <w:pStyle w:val="5"/>
        <w:ind w:firstLine="400"/>
        <w:rPr>
          <w:rFonts w:ascii="宋体" w:hAnsi="宋体" w:cs="宋体"/>
          <w:sz w:val="24"/>
        </w:rPr>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2</w:t>
      </w:r>
      <w:r>
        <w:fldChar w:fldCharType="end"/>
      </w:r>
      <w:r>
        <w:rPr>
          <w:rFonts w:hint="eastAsia"/>
        </w:rPr>
        <w:t>政策偏向国产医疗器械发展</w:t>
      </w:r>
    </w:p>
    <w:p>
      <w:pPr>
        <w:ind w:firstLine="560"/>
      </w:pPr>
      <w:r>
        <w:rPr>
          <w:rFonts w:hint="eastAsia"/>
        </w:rPr>
        <w:t>我国医疗器械行业保持快速增长，已成为全球第二大市场。2023年1月，国家医保局在答复政协委员提案时表示，在优先办理、加速审批、“进口替代”、暂不集采等多重利好政策下，支持国产创新医疗器械。</w:t>
      </w:r>
    </w:p>
    <w:p>
      <w:pPr>
        <w:ind w:firstLine="560"/>
      </w:pPr>
      <w:r>
        <w:rPr>
          <w:rFonts w:hint="eastAsia"/>
        </w:rPr>
        <w:t>得益于多年来国家政策侧重，我国的国产医疗器械发展迅速。据统计，2019-2021年期间，骨科手术器械、医用成像器械等22个大类在进口替代方面均取得了优异的成绩。其中医用成像器械75项二级产品类别国产化率突破50%，5年内产品数量增加共计2533件，产品增幅达60.67%。</w:t>
      </w:r>
    </w:p>
    <w:p>
      <w:pPr>
        <w:ind w:firstLine="480"/>
        <w:jc w:val="center"/>
        <w:rPr>
          <w:rFonts w:ascii="宋体" w:hAnsi="宋体" w:cs="宋体"/>
          <w:sz w:val="24"/>
        </w:rPr>
      </w:pPr>
      <w:r>
        <w:rPr>
          <w:rFonts w:ascii="宋体" w:hAnsi="宋体" w:cs="宋体"/>
          <w:sz w:val="24"/>
        </w:rPr>
        <w:drawing>
          <wp:inline distT="0" distB="0" distL="114300" distR="114300">
            <wp:extent cx="3466465" cy="2824480"/>
            <wp:effectExtent l="0" t="0" r="635" b="7620"/>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11"/>
                    <a:stretch>
                      <a:fillRect/>
                    </a:stretch>
                  </pic:blipFill>
                  <pic:spPr>
                    <a:xfrm>
                      <a:off x="0" y="0"/>
                      <a:ext cx="3466465" cy="2824480"/>
                    </a:xfrm>
                    <a:prstGeom prst="rect">
                      <a:avLst/>
                    </a:prstGeom>
                    <a:noFill/>
                    <a:ln w="9525">
                      <a:noFill/>
                    </a:ln>
                  </pic:spPr>
                </pic:pic>
              </a:graphicData>
            </a:graphic>
          </wp:inline>
        </w:drawing>
      </w:r>
    </w:p>
    <w:p>
      <w:pPr>
        <w:ind w:firstLine="400"/>
        <w:jc w:val="center"/>
        <w:rPr>
          <w:rStyle w:val="24"/>
        </w:rPr>
      </w:pPr>
      <w:r>
        <w:rPr>
          <w:rStyle w:val="24"/>
        </w:rPr>
        <w:t xml:space="preserve">图 </w:t>
      </w:r>
      <w:r>
        <w:rPr>
          <w:rStyle w:val="24"/>
        </w:rPr>
        <w:fldChar w:fldCharType="begin"/>
      </w:r>
      <w:r>
        <w:rPr>
          <w:rStyle w:val="24"/>
        </w:rPr>
        <w:instrText xml:space="preserve"> STYLEREF 1 \s </w:instrText>
      </w:r>
      <w:r>
        <w:rPr>
          <w:rStyle w:val="24"/>
        </w:rPr>
        <w:fldChar w:fldCharType="separate"/>
      </w:r>
      <w:r>
        <w:rPr>
          <w:rStyle w:val="24"/>
        </w:rPr>
        <w:t>3</w:t>
      </w:r>
      <w:r>
        <w:rPr>
          <w:rStyle w:val="24"/>
        </w:rPr>
        <w:fldChar w:fldCharType="end"/>
      </w:r>
      <w:r>
        <w:rPr>
          <w:rStyle w:val="24"/>
          <w:rFonts w:hint="eastAsia"/>
        </w:rPr>
        <w:t>-</w:t>
      </w:r>
      <w:r>
        <w:rPr>
          <w:rStyle w:val="24"/>
        </w:rPr>
        <w:fldChar w:fldCharType="begin"/>
      </w:r>
      <w:r>
        <w:rPr>
          <w:rStyle w:val="24"/>
        </w:rPr>
        <w:instrText xml:space="preserve"> SEQ 图 \* ARABIC \s 1 </w:instrText>
      </w:r>
      <w:r>
        <w:rPr>
          <w:rStyle w:val="24"/>
        </w:rPr>
        <w:fldChar w:fldCharType="separate"/>
      </w:r>
      <w:r>
        <w:rPr>
          <w:rStyle w:val="24"/>
        </w:rPr>
        <w:t>3</w:t>
      </w:r>
      <w:r>
        <w:rPr>
          <w:rStyle w:val="24"/>
        </w:rPr>
        <w:fldChar w:fldCharType="end"/>
      </w:r>
      <w:r>
        <w:rPr>
          <w:rStyle w:val="24"/>
          <w:rFonts w:hint="eastAsia"/>
        </w:rPr>
        <w:t>2017—2021年国产医疗器械产品增量</w:t>
      </w:r>
    </w:p>
    <w:p>
      <w:pPr>
        <w:pStyle w:val="4"/>
        <w:rPr>
          <w:rFonts w:ascii="黑体" w:hAnsi="黑体" w:eastAsia="黑体"/>
          <w:b w:val="0"/>
          <w:bCs w:val="0"/>
          <w:sz w:val="24"/>
        </w:rPr>
      </w:pPr>
      <w:bookmarkStart w:id="14" w:name="_Toc132368926"/>
      <w:r>
        <w:rPr>
          <w:rStyle w:val="24"/>
          <w:rFonts w:ascii="黑体" w:hAnsi="黑体"/>
          <w:b w:val="0"/>
          <w:bCs w:val="0"/>
          <w:sz w:val="24"/>
          <w:szCs w:val="32"/>
        </w:rPr>
        <w:t>2</w:t>
      </w:r>
      <w:r>
        <w:rPr>
          <w:rStyle w:val="24"/>
          <w:rFonts w:hint="eastAsia" w:ascii="黑体" w:hAnsi="黑体"/>
          <w:b w:val="0"/>
          <w:bCs w:val="0"/>
          <w:sz w:val="24"/>
          <w:szCs w:val="32"/>
        </w:rPr>
        <w:t>.1.2</w:t>
      </w:r>
      <w:r>
        <w:rPr>
          <w:rStyle w:val="24"/>
          <w:rFonts w:ascii="黑体" w:hAnsi="黑体"/>
          <w:b w:val="0"/>
          <w:bCs w:val="0"/>
          <w:sz w:val="24"/>
          <w:szCs w:val="32"/>
        </w:rPr>
        <w:t xml:space="preserve"> </w:t>
      </w:r>
      <w:r>
        <w:rPr>
          <w:rFonts w:hint="eastAsia" w:ascii="黑体" w:hAnsi="黑体" w:eastAsia="黑体"/>
          <w:b w:val="0"/>
          <w:bCs w:val="0"/>
          <w:sz w:val="24"/>
        </w:rPr>
        <w:t>经济环境</w:t>
      </w:r>
      <w:bookmarkEnd w:id="14"/>
    </w:p>
    <w:p>
      <w:pPr>
        <w:numPr>
          <w:ilvl w:val="0"/>
          <w:numId w:val="4"/>
        </w:numPr>
        <w:ind w:firstLine="422" w:firstLineChars="200"/>
        <w:rPr>
          <w:b/>
          <w:bCs/>
        </w:rPr>
      </w:pPr>
      <w:r>
        <w:rPr>
          <w:rFonts w:hint="eastAsia"/>
          <w:b/>
          <w:bCs/>
        </w:rPr>
        <w:t xml:space="preserve">财政医疗卫生支出不断增长 </w:t>
      </w:r>
    </w:p>
    <w:p>
      <w:pPr>
        <w:ind w:firstLine="560"/>
      </w:pPr>
      <w:r>
        <w:rPr>
          <w:rFonts w:hint="eastAsia"/>
        </w:rPr>
        <w:t>由财政部数据得到，2019年卫生健康支出16797亿元，同比增长10%；2020年卫生健康支出19201亿元，同比增长15.2%；2021年卫生健康支出19205亿元，同比仅下降0.1%；2022年卫生健康支出22542亿元，比上年增长17.8%；2023年1-2月财政在卫生健康支出3942亿元，同比增长23.2%。总体可以看出财政对医疗卫生投入整体呈大幅上升趋势，特别是新冠以来，国家越来越重视医疗建设。</w:t>
      </w:r>
    </w:p>
    <w:p>
      <w:pPr>
        <w:ind w:firstLine="560"/>
      </w:pPr>
      <w:r>
        <w:drawing>
          <wp:inline distT="0" distB="0" distL="114300" distR="114300">
            <wp:extent cx="4474845" cy="2219325"/>
            <wp:effectExtent l="4445" t="4445" r="16510" b="1143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5"/>
        <w:ind w:firstLine="400"/>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4</w:t>
      </w:r>
      <w:r>
        <w:fldChar w:fldCharType="end"/>
      </w:r>
      <w:r>
        <w:rPr>
          <w:rFonts w:hint="eastAsia"/>
        </w:rPr>
        <w:t>近年卫生健康财政支出</w:t>
      </w:r>
    </w:p>
    <w:p>
      <w:pPr>
        <w:numPr>
          <w:ilvl w:val="0"/>
          <w:numId w:val="4"/>
        </w:numPr>
        <w:ind w:firstLine="422" w:firstLineChars="200"/>
        <w:rPr>
          <w:b/>
          <w:bCs/>
        </w:rPr>
      </w:pPr>
      <w:r>
        <w:rPr>
          <w:rFonts w:hint="eastAsia"/>
          <w:b/>
          <w:bCs/>
        </w:rPr>
        <w:t>医疗制造业融资情况良好，发展前景巨大</w:t>
      </w:r>
    </w:p>
    <w:p>
      <w:pPr>
        <w:ind w:firstLine="560"/>
      </w:pPr>
      <w:r>
        <w:rPr>
          <w:rFonts w:hint="eastAsia"/>
        </w:rPr>
        <w:t>医疗健康领域，可以说是投资增长最快的行业。从 2011 年至今，互联网医疗已经走过了新兴行业的几个重要成长节点。2021年我国医疗健康领域投融资热度空前，投融资事件超1500起，总金额达2600亿以上。除2021年外，近5年医疗健康行业投融资事件稳定在1000起左右，交易总金额整体呈稳步上升趋势，自2017年的701.5亿元增长至2022年的1258.1亿元，增幅达到179.34%。2022年，新冠疫情多点频发、局部战争冲突、能源危机、美联储收紧货币政策等多重外部因素为经济发展带来诸多变化，投资方转向具有核心技术竞争力的早期项目，使得一批批中国医疗健康领域的初创企业在“资本寒冬”之下逆势而上，投资方仍重点关注生物技术及制药、医疗器械及硬件等热门赛道，以投融资作为加速器，助推我国医药产业高质量创新发展。</w:t>
      </w:r>
    </w:p>
    <w:p>
      <w:pPr>
        <w:ind w:firstLine="560"/>
      </w:pPr>
    </w:p>
    <w:p>
      <w:pPr>
        <w:ind w:firstLine="560"/>
        <w:jc w:val="center"/>
      </w:pPr>
      <w:r>
        <w:rPr>
          <w:rFonts w:hint="eastAsia"/>
        </w:rPr>
        <w:drawing>
          <wp:inline distT="0" distB="0" distL="114300" distR="114300">
            <wp:extent cx="2416175" cy="2103755"/>
            <wp:effectExtent l="0" t="0" r="9525" b="4445"/>
            <wp:docPr id="10" name="图片 10" descr="2022医疗健康投融资盘点｜投资缩减、热度下降，资本方回归谨慎 和另外 2 个页面 - 个人 - Microsoft​ Edge 2023_4_12 15_47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2医疗健康投融资盘点｜投资缩减、热度下降，资本方回归谨慎 和另外 2 个页面 - 个人 - Microsoft​ Edge 2023_4_12 15_47_51"/>
                    <pic:cNvPicPr>
                      <a:picLocks noChangeAspect="1"/>
                    </pic:cNvPicPr>
                  </pic:nvPicPr>
                  <pic:blipFill>
                    <a:blip r:embed="rId13">
                      <a:lum bright="-12000" contrast="40000"/>
                    </a:blip>
                    <a:srcRect l="14963" t="24569" r="39788" b="413"/>
                    <a:stretch>
                      <a:fillRect/>
                    </a:stretch>
                  </pic:blipFill>
                  <pic:spPr>
                    <a:xfrm>
                      <a:off x="0" y="0"/>
                      <a:ext cx="2416175" cy="2103755"/>
                    </a:xfrm>
                    <a:prstGeom prst="rect">
                      <a:avLst/>
                    </a:prstGeom>
                  </pic:spPr>
                </pic:pic>
              </a:graphicData>
            </a:graphic>
          </wp:inline>
        </w:drawing>
      </w:r>
      <w:r>
        <w:rPr>
          <w:rFonts w:hint="eastAsia"/>
        </w:rPr>
        <w:drawing>
          <wp:inline distT="0" distB="0" distL="114300" distR="114300">
            <wp:extent cx="2416175" cy="2103755"/>
            <wp:effectExtent l="0" t="0" r="9525" b="4445"/>
            <wp:docPr id="6" name="图片 6" descr="2022医疗健康投融资盘点｜投资缩减、热度下降，资本方回归谨慎 和另外 2 个页面 - 个人 - Microsoft​ Edge 2023_4_12 15_47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2医疗健康投融资盘点｜投资缩减、热度下降，资本方回归谨慎 和另外 2 个页面 - 个人 - Microsoft​ Edge 2023_4_12 15_47_51"/>
                    <pic:cNvPicPr>
                      <a:picLocks noChangeAspect="1"/>
                    </pic:cNvPicPr>
                  </pic:nvPicPr>
                  <pic:blipFill>
                    <a:blip r:embed="rId13">
                      <a:lum bright="-12000" contrast="40000"/>
                    </a:blip>
                    <a:srcRect l="14963" t="24569" r="39788" b="413"/>
                    <a:stretch>
                      <a:fillRect/>
                    </a:stretch>
                  </pic:blipFill>
                  <pic:spPr>
                    <a:xfrm>
                      <a:off x="0" y="0"/>
                      <a:ext cx="2416175" cy="2103755"/>
                    </a:xfrm>
                    <a:prstGeom prst="rect">
                      <a:avLst/>
                    </a:prstGeom>
                  </pic:spPr>
                </pic:pic>
              </a:graphicData>
            </a:graphic>
          </wp:inline>
        </w:drawing>
      </w:r>
      <w:r>
        <w:rPr>
          <w:rFonts w:hint="eastAsia"/>
        </w:rPr>
        <w:drawing>
          <wp:inline distT="0" distB="0" distL="114300" distR="114300">
            <wp:extent cx="2442845" cy="2124710"/>
            <wp:effectExtent l="0" t="0" r="8255" b="8890"/>
            <wp:docPr id="8" name="图片 8" descr="2022医疗健康投融资盘点｜投资缩减、热度下降，资本方回归谨慎 和另外 4 个页面 - 个人 - Microsoft​ Edge 2023_4_12 15_5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2医疗健康投融资盘点｜投资缩减、热度下降，资本方回归谨慎 和另外 4 个页面 - 个人 - Microsoft​ Edge 2023_4_12 15_51_17"/>
                    <pic:cNvPicPr>
                      <a:picLocks noChangeAspect="1"/>
                    </pic:cNvPicPr>
                  </pic:nvPicPr>
                  <pic:blipFill>
                    <a:blip r:embed="rId14">
                      <a:lum bright="-6000" contrast="42000"/>
                    </a:blip>
                    <a:srcRect l="14541" t="23995" r="39076" b="-827"/>
                    <a:stretch>
                      <a:fillRect/>
                    </a:stretch>
                  </pic:blipFill>
                  <pic:spPr>
                    <a:xfrm>
                      <a:off x="0" y="0"/>
                      <a:ext cx="2442845" cy="2124710"/>
                    </a:xfrm>
                    <a:prstGeom prst="rect">
                      <a:avLst/>
                    </a:prstGeom>
                  </pic:spPr>
                </pic:pic>
              </a:graphicData>
            </a:graphic>
          </wp:inline>
        </w:drawing>
      </w:r>
    </w:p>
    <w:p>
      <w:pPr>
        <w:jc w:val="center"/>
      </w:pPr>
      <w:r>
        <w:rPr>
          <w:rFonts w:hint="eastAsia"/>
        </w:rPr>
        <w:drawing>
          <wp:inline distT="0" distB="0" distL="114300" distR="114300">
            <wp:extent cx="4248785" cy="2237105"/>
            <wp:effectExtent l="0" t="0" r="0" b="10795"/>
            <wp:docPr id="5" name="图片 5" descr="eit市场分析计划书.docx - WPS Office 2023_4_12 15_52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it市场分析计划书.docx - WPS Office 2023_4_12 15_52_13"/>
                    <pic:cNvPicPr>
                      <a:picLocks noChangeAspect="1"/>
                    </pic:cNvPicPr>
                  </pic:nvPicPr>
                  <pic:blipFill>
                    <a:blip r:embed="rId15">
                      <a:clrChange>
                        <a:clrFrom>
                          <a:srgbClr val="FFFFFF">
                            <a:alpha val="100000"/>
                          </a:srgbClr>
                        </a:clrFrom>
                        <a:clrTo>
                          <a:srgbClr val="FFFFFF">
                            <a:alpha val="100000"/>
                            <a:alpha val="0"/>
                          </a:srgbClr>
                        </a:clrTo>
                      </a:clrChange>
                      <a:lum bright="-30000" contrast="66000"/>
                    </a:blip>
                    <a:srcRect l="639" t="29437" r="29154" b="161"/>
                    <a:stretch>
                      <a:fillRect/>
                    </a:stretch>
                  </pic:blipFill>
                  <pic:spPr>
                    <a:xfrm>
                      <a:off x="0" y="0"/>
                      <a:ext cx="4248785" cy="2237105"/>
                    </a:xfrm>
                    <a:prstGeom prst="rect">
                      <a:avLst/>
                    </a:prstGeom>
                  </pic:spPr>
                </pic:pic>
              </a:graphicData>
            </a:graphic>
          </wp:inline>
        </w:drawing>
      </w:r>
    </w:p>
    <w:p>
      <w:pPr>
        <w:pStyle w:val="5"/>
        <w:ind w:firstLine="400"/>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5</w:t>
      </w:r>
      <w:r>
        <w:fldChar w:fldCharType="end"/>
      </w:r>
      <w:r>
        <w:rPr>
          <w:rFonts w:hint="eastAsia"/>
        </w:rPr>
        <w:t xml:space="preserve"> 2022年融资情况</w:t>
      </w:r>
    </w:p>
    <w:p>
      <w:pPr>
        <w:numPr>
          <w:ilvl w:val="0"/>
          <w:numId w:val="4"/>
        </w:numPr>
        <w:ind w:firstLine="422" w:firstLineChars="200"/>
        <w:rPr>
          <w:b/>
          <w:bCs/>
        </w:rPr>
      </w:pPr>
      <w:r>
        <w:rPr>
          <w:rFonts w:hint="eastAsia"/>
          <w:b/>
          <w:bCs/>
        </w:rPr>
        <w:t>居民人均收入增长，医疗卫生领域消费增加</w:t>
      </w:r>
    </w:p>
    <w:p>
      <w:pPr>
        <w:ind w:left="420" w:leftChars="200"/>
      </w:pPr>
      <w:r>
        <w:rPr>
          <w:rFonts w:hint="eastAsia"/>
        </w:rPr>
        <w:t>近年来中国的人均收入持续增长，再加上那个对健康的重视程度越开越高，人均卫生费用也稳定增长。</w:t>
      </w:r>
    </w:p>
    <w:p>
      <w:pPr>
        <w:ind w:left="420" w:leftChars="200"/>
      </w:pPr>
    </w:p>
    <w:p>
      <w:pPr>
        <w:ind w:left="420" w:leftChars="200"/>
        <w:jc w:val="center"/>
      </w:pPr>
      <w:r>
        <w:rPr>
          <w:rFonts w:hint="eastAsia"/>
        </w:rPr>
        <w:drawing>
          <wp:inline distT="0" distB="0" distL="114300" distR="114300">
            <wp:extent cx="5104765" cy="1968500"/>
            <wp:effectExtent l="0" t="0" r="0" b="0"/>
            <wp:docPr id="12" name="图片 12" descr="2022年中国医疗健康行业一级市场投融资年度回顾：市场趋于谨慎，投资更偏早期 和另外 4 个页面 - 个人 - Microsoft​ Edge 2023_4_12 16_00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2年中国医疗健康行业一级市场投融资年度回顾：市场趋于谨慎，投资更偏早期 和另外 4 个页面 - 个人 - Microsoft​ Edge 2023_4_12 16_00_35"/>
                    <pic:cNvPicPr>
                      <a:picLocks noChangeAspect="1"/>
                    </pic:cNvPicPr>
                  </pic:nvPicPr>
                  <pic:blipFill>
                    <a:blip r:embed="rId16">
                      <a:clrChange>
                        <a:clrFrom>
                          <a:srgbClr val="FFFFFF">
                            <a:alpha val="100000"/>
                          </a:srgbClr>
                        </a:clrFrom>
                        <a:clrTo>
                          <a:srgbClr val="FFFFFF">
                            <a:alpha val="100000"/>
                            <a:alpha val="0"/>
                          </a:srgbClr>
                        </a:clrTo>
                      </a:clrChange>
                      <a:lum bright="-66000" contrast="-18000"/>
                    </a:blip>
                    <a:srcRect l="8585" t="46958" r="42054" b="16785"/>
                    <a:stretch>
                      <a:fillRect/>
                    </a:stretch>
                  </pic:blipFill>
                  <pic:spPr>
                    <a:xfrm>
                      <a:off x="0" y="0"/>
                      <a:ext cx="5104765" cy="1968500"/>
                    </a:xfrm>
                    <a:prstGeom prst="rect">
                      <a:avLst/>
                    </a:prstGeom>
                  </pic:spPr>
                </pic:pic>
              </a:graphicData>
            </a:graphic>
          </wp:inline>
        </w:drawing>
      </w:r>
    </w:p>
    <w:p>
      <w:pPr>
        <w:pStyle w:val="5"/>
        <w:ind w:left="420" w:leftChars="200" w:firstLine="0" w:firstLineChars="0"/>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6</w:t>
      </w:r>
      <w:r>
        <w:fldChar w:fldCharType="end"/>
      </w:r>
      <w:r>
        <w:rPr>
          <w:rFonts w:hint="eastAsia"/>
        </w:rPr>
        <w:t xml:space="preserve"> 人均卫生费用</w:t>
      </w:r>
    </w:p>
    <w:p>
      <w:pPr>
        <w:pStyle w:val="5"/>
        <w:ind w:firstLine="0" w:firstLineChars="0"/>
        <w:jc w:val="both"/>
        <w:outlineLvl w:val="2"/>
        <w:rPr>
          <w:rFonts w:ascii="黑体" w:hAnsi="黑体"/>
          <w:sz w:val="24"/>
          <w:szCs w:val="36"/>
        </w:rPr>
      </w:pPr>
      <w:bookmarkStart w:id="15" w:name="_Toc132368927"/>
      <w:r>
        <w:rPr>
          <w:rFonts w:ascii="黑体" w:hAnsi="黑体"/>
          <w:sz w:val="24"/>
          <w:szCs w:val="36"/>
        </w:rPr>
        <w:t>2</w:t>
      </w:r>
      <w:r>
        <w:rPr>
          <w:rFonts w:hint="eastAsia" w:ascii="黑体" w:hAnsi="黑体"/>
          <w:sz w:val="24"/>
          <w:szCs w:val="36"/>
        </w:rPr>
        <w:t>.1.3</w:t>
      </w:r>
      <w:r>
        <w:rPr>
          <w:rFonts w:ascii="黑体" w:hAnsi="黑体"/>
          <w:sz w:val="24"/>
          <w:szCs w:val="36"/>
        </w:rPr>
        <w:t xml:space="preserve"> </w:t>
      </w:r>
      <w:r>
        <w:rPr>
          <w:rFonts w:hint="eastAsia" w:ascii="黑体" w:hAnsi="黑体"/>
          <w:sz w:val="24"/>
          <w:szCs w:val="36"/>
        </w:rPr>
        <w:t>社会环境</w:t>
      </w:r>
      <w:bookmarkEnd w:id="15"/>
    </w:p>
    <w:p>
      <w:pPr>
        <w:numPr>
          <w:ilvl w:val="0"/>
          <w:numId w:val="5"/>
        </w:numPr>
        <w:ind w:firstLine="422" w:firstLineChars="200"/>
        <w:rPr>
          <w:b/>
          <w:bCs/>
        </w:rPr>
      </w:pPr>
      <w:r>
        <w:rPr>
          <w:rFonts w:hint="eastAsia"/>
          <w:b/>
          <w:bCs/>
        </w:rPr>
        <w:t>关节疾病发病率高，患者数量多，需求大</w:t>
      </w:r>
    </w:p>
    <w:p>
      <w:pPr>
        <w:ind w:firstLine="560"/>
      </w:pPr>
      <w:r>
        <w:t>关节炎是最常见的慢性疾病之一，有100多种类型，很多原因都可以引起关节炎的发生。临床表现为关节的红、肿、热、痛、功能障碍及关节畸形，严重者导致关节残疾、影响患者生活质量。据统计，我国50岁以上人群中半数患骨关节炎</w:t>
      </w:r>
      <w:r>
        <w:rPr>
          <w:rFonts w:hint="eastAsia"/>
        </w:rPr>
        <w:t>，</w:t>
      </w:r>
      <w:r>
        <w:t>65岁以上人群中有50%患有不同程度关节炎，女性患类风湿关节炎的概率是男性的3倍。关节炎在我国的发病率约为13%，保守估计患者超过1亿。</w:t>
      </w:r>
    </w:p>
    <w:p>
      <w:pPr>
        <w:ind w:firstLine="560"/>
      </w:pPr>
      <w:r>
        <w:rPr>
          <w:rFonts w:hint="eastAsia"/>
        </w:rPr>
        <w:t>在临床工作中，针对关节疾病诊断主要依靠询问病史、体格检査、影像学检査及相关血液学检査等。然而，临床中有些关节疾病如骨关节炎(osteoarthritis，OA)、关节置换术后感染等并不能依赖以上诊断方法而确立早期准确的诊断，导致患者很可能错过宝贵的早期治疗机会。由于关节炎、痛风等多种关节疾病都会引起关节腔积液中的细胞数量、细胞类型、化学成分的改变以及出现结晶等变化，因此关节腔积液检查能为临床提供关节疾病重要的诊断和鉴别信息，使得患者能够早发现、早诊断、早治疗、早痊愈。</w:t>
      </w:r>
    </w:p>
    <w:p>
      <w:pPr>
        <w:numPr>
          <w:ilvl w:val="0"/>
          <w:numId w:val="5"/>
        </w:numPr>
        <w:ind w:firstLine="422" w:firstLineChars="200"/>
        <w:rPr>
          <w:b/>
          <w:bCs/>
        </w:rPr>
      </w:pPr>
      <w:r>
        <w:rPr>
          <w:rFonts w:hint="eastAsia"/>
          <w:b/>
          <w:bCs/>
        </w:rPr>
        <w:t>医疗机构不断发展扩大</w:t>
      </w:r>
    </w:p>
    <w:p>
      <w:pPr>
        <w:ind w:firstLine="560"/>
      </w:pPr>
      <w:r>
        <w:t>随着基层医疗机构发展及现有医疗卫生机构装备的更新换代需求，中国成为巨大的医疗器械消费市场。</w:t>
      </w:r>
      <w:r>
        <w:rPr>
          <w:rFonts w:hint="eastAsia"/>
        </w:rPr>
        <w:t>本公司基于EIT系统在关节积液检测方面进行设计，产品有很大的消费市场。</w:t>
      </w:r>
    </w:p>
    <w:p>
      <w:pPr>
        <w:pStyle w:val="4"/>
        <w:rPr>
          <w:rFonts w:ascii="黑体" w:hAnsi="黑体" w:eastAsia="黑体"/>
          <w:b w:val="0"/>
          <w:bCs w:val="0"/>
          <w:sz w:val="24"/>
        </w:rPr>
      </w:pPr>
      <w:bookmarkStart w:id="16" w:name="_Toc132368928"/>
      <w:r>
        <w:rPr>
          <w:rFonts w:ascii="黑体" w:hAnsi="黑体" w:eastAsia="黑体"/>
          <w:b w:val="0"/>
          <w:bCs w:val="0"/>
          <w:sz w:val="24"/>
        </w:rPr>
        <w:t>2</w:t>
      </w:r>
      <w:r>
        <w:rPr>
          <w:rFonts w:hint="eastAsia" w:ascii="黑体" w:hAnsi="黑体" w:eastAsia="黑体"/>
          <w:b w:val="0"/>
          <w:bCs w:val="0"/>
          <w:sz w:val="24"/>
        </w:rPr>
        <w:t>.1.4</w:t>
      </w:r>
      <w:r>
        <w:rPr>
          <w:rFonts w:ascii="黑体" w:hAnsi="黑体" w:eastAsia="黑体"/>
          <w:b w:val="0"/>
          <w:bCs w:val="0"/>
          <w:sz w:val="24"/>
        </w:rPr>
        <w:t xml:space="preserve"> </w:t>
      </w:r>
      <w:r>
        <w:rPr>
          <w:rFonts w:hint="eastAsia" w:ascii="黑体" w:hAnsi="黑体" w:eastAsia="黑体"/>
          <w:b w:val="0"/>
          <w:bCs w:val="0"/>
          <w:sz w:val="24"/>
        </w:rPr>
        <w:t>技术环境</w:t>
      </w:r>
      <w:bookmarkEnd w:id="16"/>
    </w:p>
    <w:p>
      <w:pPr>
        <w:ind w:firstLine="562"/>
        <w:rPr>
          <w:b/>
          <w:bCs/>
        </w:rPr>
      </w:pPr>
      <w:r>
        <w:rPr>
          <w:rFonts w:hint="eastAsia"/>
          <w:b/>
          <w:bCs/>
        </w:rPr>
        <w:t>（1）电阻抗成像技术迅速发展</w:t>
      </w:r>
    </w:p>
    <w:p>
      <w:pPr>
        <w:ind w:firstLine="560"/>
      </w:pPr>
      <w:r>
        <w:rPr>
          <w:rFonts w:hint="eastAsia"/>
        </w:rPr>
        <w:t>关节疾病所致的积液以往通过望、触、动、量的方法来检查，还可以通过关节穿刺的方法和积液化验的方法来进一步检查，各个关节穿刺检查方法包括肩关节穿刺术、肘关节穿刺术、腕关节穿刺术、髋关节穿刺术、膝关节穿刺术及踝关节穿刺术。对医护人员和医疗设备要求都较高，成本较大。而根据新思界产业研究中心发布的《2022-2027年中国电阻抗成像（EIT）行业市场深度调研及发展前景预测报告》显示，电阻抗成像可广泛应用在脑损伤、中风、心肌萎缩、肺气肿、消化道疾病、乳腺癌、膀胱癌等疾病诊断领域。电阻抗成像具有无创、无辐射、安全性高、操作方便等优点，可获得影像解剖图，以及器官生理活动功能图。可用来进行关节积液检测，造福民众。</w:t>
      </w:r>
    </w:p>
    <w:p>
      <w:pPr>
        <w:ind w:left="420" w:leftChars="200"/>
        <w:rPr>
          <w:b/>
          <w:bCs/>
        </w:rPr>
      </w:pPr>
      <w:r>
        <w:rPr>
          <w:rFonts w:hint="eastAsia"/>
          <w:b/>
          <w:bCs/>
        </w:rPr>
        <w:t>（2）关节积液生物标志检测研究不断深入</w:t>
      </w:r>
    </w:p>
    <w:p>
      <w:pPr>
        <w:ind w:firstLine="560"/>
      </w:pPr>
      <w:r>
        <w:rPr>
          <w:rFonts w:hint="eastAsia"/>
        </w:rPr>
        <w:t>随着关节液相关检测技术的发展及创新，挖掘关节液中的相关生物标志物并应用于疾病的早期、准确诊断及相应治疗具有广阔的前景。现有的研究数据显示，关节液中细胞因子有非常复杂的分类，它是一组具有可调性的调节蛋白质并传达细胞间的通信，在免疫学中和炎症反应中起着重要的角色。细胞因子最初是由滑膜产生，然后透过关节液弥散到软骨，促使软骨细胞分泌促炎相关因子。临床上，白细胞介素(interleukin，IL) -1、IL-2、IL-6、IL-7、IL-15、IL-18，TNF-α符合用于诊断的分类，可以用于辅助OA的早期诊断。其中肿瘤坏死因子-α( tumor necrosis factor-α，TNF-α)与 IL-1 只有3%的同源性，并作用于不同的受体，但两者表现出许多相似的生物学特性。另外，关节液中的蛋白酶如基质金属蛋白酶(matrix metalloproteinase MMP) MMP-l、MMP-2、MMP-3、MMP-8、MMP-9可直接反映了软骨的破坏情况，也与OA的早期诊断密切相关。应用新技术对关节液标志物进行相关检测，如在动物关节炎模型中进行磁捕获关节标志物研究，发现Ⅱ型胶原C-肽端、葡糖氨基聚糖、软骨寡基质蛋白可以捕获。此外，关节液中可以检测到的外源性和内源性晶体物质。如在诊断OA中最常用的是：水尿酸钠盐化合物(monosodiumuratemonohydrate MSUM )，焦磷酸钙盐脱水物(calcium pyrophosphate sedimentation CPPD )和磷酸钙盐(calcium phosphate CPS) 。关节液中的磨损颗粒都有相关文献支持用于OA的诊断。关节液中某些基因的DNA甲基化、循环DNA、非编码、微泡及外泌体等都是富有应用前景的生物标志物。另外，某些microRNAs如miR-146a被证实与OA疼痛有关。然而，目前仍缺乏针对这些生物标志物的诊断试剂及方法。运用大数据分析方法寻找及鉴定关节液中某些特异性的循环DNA、非编码RNA、微泡及外泌体，将有助于关节疾病的早期诊断及筛査。</w:t>
      </w:r>
    </w:p>
    <w:p>
      <w:pPr>
        <w:ind w:firstLine="562"/>
        <w:rPr>
          <w:b/>
          <w:bCs/>
        </w:rPr>
      </w:pPr>
      <w:r>
        <w:rPr>
          <w:rFonts w:hint="eastAsia"/>
          <w:b/>
          <w:bCs/>
        </w:rPr>
        <w:t>（3）EIT系统发展</w:t>
      </w:r>
    </w:p>
    <w:p>
      <w:pPr>
        <w:ind w:firstLine="560"/>
        <w:rPr>
          <w:rFonts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在 EIT 技术发展的这么些年来，有很多团队不断设计出功能强大的 EIT 系统。</w:t>
      </w:r>
    </w:p>
    <w:p>
      <w:pPr>
        <w:ind w:firstLine="560"/>
        <w:rPr>
          <w:rFonts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第四军医大学董秀珍等人在 1999 年就设计出比较好的 EIT 系统，包括 32 个Ag-AgCl 电极、激励电流源、数据采集通道控制系统以及个人计算机等。硬件系统采集的噪声峰峰值小于 10 mV，测量数据 1000 次迭加后，小信号精度 0.39%，大信号精度 0.08%，并采用几种算法成像。该团队在此基础上不断的改进，设计出一些新的 EIT 系统。天津大学王化祥等人在 2001 年设计出可用于人体的电阻抗成像系统，之后不断优化系统中的各个模块， 在 EIT 系统设计上做了大量的工作并取得众多科研成果。同时国内其他高校也都在 EIT 系统设计方面取得了不错的成果，越来越多的学者开始参与到 EIT 系统的设计中。</w:t>
      </w:r>
    </w:p>
    <w:p>
      <w:pPr>
        <w:ind w:firstLine="560"/>
        <w:rPr>
          <w:rFonts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这些系统普遍具有很高的频率范围和很好的性能，但是大多价格昂贵、结构复杂，无法融入消费电子产品行列。因此制造一种小型、低成本和低功耗的 EIT 系统，使它可以集成到消费者的日常设备中显得十分必要。</w:t>
      </w:r>
    </w:p>
    <w:p>
      <w:pPr>
        <w:numPr>
          <w:ilvl w:val="0"/>
          <w:numId w:val="6"/>
        </w:numPr>
        <w:ind w:firstLine="422" w:firstLineChars="200"/>
        <w:rPr>
          <w:rFonts w:ascii="宋体" w:hAnsi="宋体" w:cs="宋体"/>
          <w:b/>
          <w:bCs/>
          <w:color w:val="000000" w:themeColor="text1"/>
          <w:szCs w:val="28"/>
          <w14:textFill>
            <w14:solidFill>
              <w14:schemeClr w14:val="tx1"/>
            </w14:solidFill>
          </w14:textFill>
        </w:rPr>
      </w:pPr>
      <w:r>
        <w:rPr>
          <w:rFonts w:hint="eastAsia" w:ascii="宋体" w:hAnsi="宋体" w:cs="宋体"/>
          <w:b/>
          <w:bCs/>
          <w:color w:val="000000" w:themeColor="text1"/>
          <w:szCs w:val="28"/>
          <w14:textFill>
            <w14:solidFill>
              <w14:schemeClr w14:val="tx1"/>
            </w14:solidFill>
          </w14:textFill>
        </w:rPr>
        <w:t>移动互联网的高速发展，大数据时代到来。</w:t>
      </w:r>
    </w:p>
    <w:p>
      <w:pPr>
        <w:rPr>
          <w:rFonts w:ascii="宋体" w:hAnsi="宋体" w:cs="宋体"/>
          <w:color w:val="000000" w:themeColor="text1"/>
          <w:szCs w:val="28"/>
          <w14:textFill>
            <w14:solidFill>
              <w14:schemeClr w14:val="tx1"/>
            </w14:solidFill>
          </w14:textFill>
        </w:rPr>
      </w:pPr>
      <w:r>
        <w:rPr>
          <w:rFonts w:ascii="宋体" w:hAnsi="宋体" w:cs="宋体"/>
          <w:color w:val="000000" w:themeColor="text1"/>
          <w:szCs w:val="28"/>
          <w14:textFill>
            <w14:solidFill>
              <w14:schemeClr w14:val="tx1"/>
            </w14:solidFill>
          </w14:textFill>
        </w:rPr>
        <w:t>我们生物电阻抗断层成像仪（EIT）能够孔子16电极发射正弦波与采集电信号，主要用于实现关节积液监测。采集到的电信号经过阻抗分析仪处理过后，通过WiFi把数据上传到工作站进行实时计算，结果显示实在网站上方便访问。用户可以通过EIT设备自带的显示屏观察成像情况，也可以通过访问该网站获得相关的精度更高的图像与诊疗方案。</w:t>
      </w:r>
    </w:p>
    <w:p>
      <w:pPr>
        <w:pStyle w:val="4"/>
        <w:rPr>
          <w:rFonts w:ascii="黑体" w:hAnsi="黑体" w:eastAsia="黑体" w:cs="宋体"/>
          <w:b w:val="0"/>
          <w:bCs w:val="0"/>
          <w:color w:val="000000" w:themeColor="text1"/>
          <w:sz w:val="24"/>
          <w:szCs w:val="36"/>
          <w14:textFill>
            <w14:solidFill>
              <w14:schemeClr w14:val="tx1"/>
            </w14:solidFill>
          </w14:textFill>
        </w:rPr>
      </w:pPr>
      <w:bookmarkStart w:id="17" w:name="_Toc132368929"/>
      <w:r>
        <w:rPr>
          <w:rFonts w:ascii="黑体" w:hAnsi="黑体" w:eastAsia="黑体" w:cs="宋体"/>
          <w:b w:val="0"/>
          <w:bCs w:val="0"/>
          <w:color w:val="000000" w:themeColor="text1"/>
          <w:sz w:val="24"/>
          <w:szCs w:val="36"/>
          <w14:textFill>
            <w14:solidFill>
              <w14:schemeClr w14:val="tx1"/>
            </w14:solidFill>
          </w14:textFill>
        </w:rPr>
        <w:t>2</w:t>
      </w:r>
      <w:r>
        <w:rPr>
          <w:rFonts w:hint="eastAsia" w:ascii="黑体" w:hAnsi="黑体" w:eastAsia="黑体" w:cs="宋体"/>
          <w:b w:val="0"/>
          <w:bCs w:val="0"/>
          <w:color w:val="000000" w:themeColor="text1"/>
          <w:sz w:val="24"/>
          <w:szCs w:val="36"/>
          <w14:textFill>
            <w14:solidFill>
              <w14:schemeClr w14:val="tx1"/>
            </w14:solidFill>
          </w14:textFill>
        </w:rPr>
        <w:t>.1.5</w:t>
      </w:r>
      <w:r>
        <w:rPr>
          <w:rFonts w:ascii="黑体" w:hAnsi="黑体" w:eastAsia="黑体" w:cs="宋体"/>
          <w:b w:val="0"/>
          <w:bCs w:val="0"/>
          <w:color w:val="000000" w:themeColor="text1"/>
          <w:sz w:val="24"/>
          <w:szCs w:val="36"/>
          <w14:textFill>
            <w14:solidFill>
              <w14:schemeClr w14:val="tx1"/>
            </w14:solidFill>
          </w14:textFill>
        </w:rPr>
        <w:t xml:space="preserve"> </w:t>
      </w:r>
      <w:r>
        <w:rPr>
          <w:rFonts w:hint="eastAsia" w:ascii="黑体" w:hAnsi="黑体" w:eastAsia="黑体"/>
          <w:b w:val="0"/>
          <w:bCs w:val="0"/>
          <w:sz w:val="24"/>
        </w:rPr>
        <w:t>行业背景分析</w:t>
      </w:r>
      <w:bookmarkEnd w:id="17"/>
    </w:p>
    <w:p>
      <w:pPr>
        <w:ind w:firstLine="560"/>
        <w:rPr>
          <w:rFonts w:ascii="宋体" w:hAnsi="宋体" w:cs="宋体"/>
        </w:rPr>
      </w:pPr>
      <w:r>
        <w:fldChar w:fldCharType="begin"/>
      </w:r>
      <w:r>
        <w:instrText xml:space="preserve"> HYPERLINK "https://www.zhihu.com/search?q=%E7%94%B5%E9%98%BB%E6%8A%97%E6%88%90%E5%83%8F%E6%8A%80%E6%9C%AF&amp;search_source=Entity&amp;hybrid_search_source=Entity&amp;hybrid_search_extra=%7b" \t "https://www.zhihu.com/question/_blank" </w:instrText>
      </w:r>
      <w:r>
        <w:fldChar w:fldCharType="separate"/>
      </w:r>
      <w:r>
        <w:rPr>
          <w:rStyle w:val="17"/>
          <w:rFonts w:hint="eastAsia" w:ascii="宋体" w:hAnsi="宋体" w:cs="宋体"/>
          <w:color w:val="000000" w:themeColor="text1"/>
          <w:szCs w:val="15"/>
          <w:shd w:val="clear" w:color="auto" w:fill="FFFFFF"/>
          <w14:textFill>
            <w14:solidFill>
              <w14:schemeClr w14:val="tx1"/>
            </w14:solidFill>
          </w14:textFill>
        </w:rPr>
        <w:t>电阻抗成像技术</w:t>
      </w:r>
      <w:r>
        <w:rPr>
          <w:rStyle w:val="17"/>
          <w:rFonts w:hint="eastAsia" w:ascii="宋体" w:hAnsi="宋体" w:cs="宋体"/>
          <w:color w:val="000000" w:themeColor="text1"/>
          <w:szCs w:val="15"/>
          <w:shd w:val="clear" w:color="auto" w:fill="FFFFFF"/>
          <w14:textFill>
            <w14:solidFill>
              <w14:schemeClr w14:val="tx1"/>
            </w14:solidFill>
          </w14:textFill>
        </w:rPr>
        <w:fldChar w:fldCharType="end"/>
      </w:r>
      <w:r>
        <w:rPr>
          <w:rFonts w:hint="eastAsia" w:ascii="宋体" w:hAnsi="宋体" w:cs="宋体"/>
        </w:rPr>
        <w:t>（EIT）应用领域较为广泛，在医学应用中主要有</w:t>
      </w:r>
      <w:r>
        <w:fldChar w:fldCharType="begin"/>
      </w:r>
      <w:r>
        <w:instrText xml:space="preserve"> HYPERLINK "https://www.zhihu.com/search?q=%E8%82%BA%E9%80%9A%E6%B0%94&amp;search_source=Entity&amp;hybrid_search_source=Entity&amp;hybrid_search_extra=%7b" \t "https://www.zhihu.com/question/_blank" </w:instrText>
      </w:r>
      <w:r>
        <w:fldChar w:fldCharType="separate"/>
      </w:r>
      <w:r>
        <w:rPr>
          <w:rStyle w:val="17"/>
          <w:rFonts w:hint="eastAsia" w:ascii="宋体" w:hAnsi="宋体" w:cs="宋体"/>
          <w:color w:val="000000" w:themeColor="text1"/>
          <w:szCs w:val="15"/>
          <w:shd w:val="clear" w:color="auto" w:fill="FFFFFF"/>
          <w14:textFill>
            <w14:solidFill>
              <w14:schemeClr w14:val="tx1"/>
            </w14:solidFill>
          </w14:textFill>
        </w:rPr>
        <w:t>肺通气</w:t>
      </w:r>
      <w:r>
        <w:rPr>
          <w:rStyle w:val="17"/>
          <w:rFonts w:hint="eastAsia" w:ascii="宋体" w:hAnsi="宋体" w:cs="宋体"/>
          <w:color w:val="000000" w:themeColor="text1"/>
          <w:szCs w:val="15"/>
          <w:shd w:val="clear" w:color="auto" w:fill="FFFFFF"/>
          <w14:textFill>
            <w14:solidFill>
              <w14:schemeClr w14:val="tx1"/>
            </w14:solidFill>
          </w14:textFill>
        </w:rPr>
        <w:fldChar w:fldCharType="end"/>
      </w:r>
      <w:r>
        <w:rPr>
          <w:rFonts w:hint="eastAsia" w:ascii="宋体" w:hAnsi="宋体" w:cs="宋体"/>
        </w:rPr>
        <w:t>监测、</w:t>
      </w:r>
      <w:r>
        <w:fldChar w:fldCharType="begin"/>
      </w:r>
      <w:r>
        <w:instrText xml:space="preserve"> HYPERLINK "https://www.zhihu.com/search?q=%E8%84%91%E6%8D%9F%E4%BC%A4&amp;search_source=Entity&amp;hybrid_search_source=Entity&amp;hybrid_search_extra=%7b" \t "https://www.zhihu.com/question/_blank" </w:instrText>
      </w:r>
      <w:r>
        <w:fldChar w:fldCharType="separate"/>
      </w:r>
      <w:r>
        <w:rPr>
          <w:rStyle w:val="17"/>
          <w:rFonts w:hint="eastAsia" w:ascii="宋体" w:hAnsi="宋体" w:cs="宋体"/>
          <w:color w:val="000000" w:themeColor="text1"/>
          <w:szCs w:val="15"/>
          <w:shd w:val="clear" w:color="auto" w:fill="FFFFFF"/>
          <w14:textFill>
            <w14:solidFill>
              <w14:schemeClr w14:val="tx1"/>
            </w14:solidFill>
          </w14:textFill>
        </w:rPr>
        <w:t>脑损伤</w:t>
      </w:r>
      <w:r>
        <w:rPr>
          <w:rStyle w:val="17"/>
          <w:rFonts w:hint="eastAsia" w:ascii="宋体" w:hAnsi="宋体" w:cs="宋体"/>
          <w:color w:val="000000" w:themeColor="text1"/>
          <w:szCs w:val="15"/>
          <w:shd w:val="clear" w:color="auto" w:fill="FFFFFF"/>
          <w14:textFill>
            <w14:solidFill>
              <w14:schemeClr w14:val="tx1"/>
            </w14:solidFill>
          </w14:textFill>
        </w:rPr>
        <w:fldChar w:fldCharType="end"/>
      </w:r>
      <w:r>
        <w:rPr>
          <w:rFonts w:hint="eastAsia" w:ascii="宋体" w:hAnsi="宋体" w:cs="宋体"/>
        </w:rPr>
        <w:t>检测、</w:t>
      </w:r>
      <w:r>
        <w:fldChar w:fldCharType="begin"/>
      </w:r>
      <w:r>
        <w:instrText xml:space="preserve"> HYPERLINK "https://www.zhihu.com/search?q=%E7%94%9F%E7%89%A9%E9%98%BB%E6%8A%97%E5%88%86%E6%9E%90&amp;search_source=Entity&amp;hybrid_search_source=Entity&amp;hybrid_search_extra=%7b" \t "https://www.zhihu.com/question/_blank" </w:instrText>
      </w:r>
      <w:r>
        <w:fldChar w:fldCharType="separate"/>
      </w:r>
      <w:r>
        <w:rPr>
          <w:rStyle w:val="17"/>
          <w:rFonts w:hint="eastAsia" w:ascii="宋体" w:hAnsi="宋体" w:cs="宋体"/>
          <w:color w:val="000000" w:themeColor="text1"/>
          <w:szCs w:val="15"/>
          <w:shd w:val="clear" w:color="auto" w:fill="FFFFFF"/>
          <w14:textFill>
            <w14:solidFill>
              <w14:schemeClr w14:val="tx1"/>
            </w14:solidFill>
          </w14:textFill>
        </w:rPr>
        <w:t>生物阻抗分析</w:t>
      </w:r>
      <w:r>
        <w:rPr>
          <w:rStyle w:val="17"/>
          <w:rFonts w:hint="eastAsia" w:ascii="宋体" w:hAnsi="宋体" w:cs="宋体"/>
          <w:color w:val="000000" w:themeColor="text1"/>
          <w:szCs w:val="15"/>
          <w:shd w:val="clear" w:color="auto" w:fill="FFFFFF"/>
          <w14:textFill>
            <w14:solidFill>
              <w14:schemeClr w14:val="tx1"/>
            </w14:solidFill>
          </w14:textFill>
        </w:rPr>
        <w:fldChar w:fldCharType="end"/>
      </w:r>
      <w:r>
        <w:rPr>
          <w:rFonts w:hint="eastAsia" w:ascii="宋体" w:hAnsi="宋体" w:cs="宋体"/>
        </w:rPr>
        <w:t>、</w:t>
      </w:r>
      <w:r>
        <w:fldChar w:fldCharType="begin"/>
      </w:r>
      <w:r>
        <w:instrText xml:space="preserve"> HYPERLINK "https://www.zhihu.com/search?q=%E4%B9%B3%E8%85%BA%E7%99%8C&amp;search_source=Entity&amp;hybrid_search_source=Entity&amp;hybrid_search_extra=%7b" \t "https://www.zhihu.com/question/_blank" </w:instrText>
      </w:r>
      <w:r>
        <w:fldChar w:fldCharType="separate"/>
      </w:r>
      <w:r>
        <w:rPr>
          <w:rStyle w:val="17"/>
          <w:rFonts w:hint="eastAsia" w:ascii="宋体" w:hAnsi="宋体" w:cs="宋体"/>
          <w:color w:val="000000" w:themeColor="text1"/>
          <w:szCs w:val="15"/>
          <w:shd w:val="clear" w:color="auto" w:fill="FFFFFF"/>
          <w14:textFill>
            <w14:solidFill>
              <w14:schemeClr w14:val="tx1"/>
            </w14:solidFill>
          </w14:textFill>
        </w:rPr>
        <w:t>乳腺癌</w:t>
      </w:r>
      <w:r>
        <w:rPr>
          <w:rStyle w:val="17"/>
          <w:rFonts w:hint="eastAsia" w:ascii="宋体" w:hAnsi="宋体" w:cs="宋体"/>
          <w:color w:val="000000" w:themeColor="text1"/>
          <w:szCs w:val="15"/>
          <w:shd w:val="clear" w:color="auto" w:fill="FFFFFF"/>
          <w14:textFill>
            <w14:solidFill>
              <w14:schemeClr w14:val="tx1"/>
            </w14:solidFill>
          </w14:textFill>
        </w:rPr>
        <w:fldChar w:fldCharType="end"/>
      </w:r>
      <w:r>
        <w:rPr>
          <w:rFonts w:hint="eastAsia" w:ascii="宋体" w:hAnsi="宋体" w:cs="宋体"/>
        </w:rPr>
        <w:t>筛查等领域。目前的应用有，用于</w:t>
      </w:r>
      <w:r>
        <w:fldChar w:fldCharType="begin"/>
      </w:r>
      <w:r>
        <w:instrText xml:space="preserve"> HYPERLINK "https://www.zhihu.com/search?q=%E4%B8%BB%E5%8A%A8%E8%84%89%E5%BC%93%E7%BD%AE%E6%8D%A2%E6%9C%AF&amp;search_source=Entity&amp;hybrid_search_source=Entity&amp;hybrid_search_extra=%7b" \t "https://www.zhihu.com/question/_blank" </w:instrText>
      </w:r>
      <w:r>
        <w:fldChar w:fldCharType="separate"/>
      </w:r>
      <w:r>
        <w:rPr>
          <w:rStyle w:val="17"/>
          <w:rFonts w:hint="eastAsia" w:ascii="宋体" w:hAnsi="宋体" w:cs="宋体"/>
          <w:color w:val="000000" w:themeColor="text1"/>
          <w:szCs w:val="15"/>
          <w:shd w:val="clear" w:color="auto" w:fill="FFFFFF"/>
          <w14:textFill>
            <w14:solidFill>
              <w14:schemeClr w14:val="tx1"/>
            </w14:solidFill>
          </w14:textFill>
        </w:rPr>
        <w:t>主动脉弓置换术</w:t>
      </w:r>
      <w:r>
        <w:rPr>
          <w:rStyle w:val="17"/>
          <w:rFonts w:hint="eastAsia" w:ascii="宋体" w:hAnsi="宋体" w:cs="宋体"/>
          <w:color w:val="000000" w:themeColor="text1"/>
          <w:szCs w:val="15"/>
          <w:shd w:val="clear" w:color="auto" w:fill="FFFFFF"/>
          <w14:textFill>
            <w14:solidFill>
              <w14:schemeClr w14:val="tx1"/>
            </w14:solidFill>
          </w14:textFill>
        </w:rPr>
        <w:fldChar w:fldCharType="end"/>
      </w:r>
      <w:r>
        <w:rPr>
          <w:rFonts w:hint="eastAsia" w:ascii="宋体" w:hAnsi="宋体" w:cs="宋体"/>
        </w:rPr>
        <w:t>中脑血容量的相对变化进行成像、</w:t>
      </w:r>
      <w:r>
        <w:fldChar w:fldCharType="begin"/>
      </w:r>
      <w:r>
        <w:instrText xml:space="preserve"> HYPERLINK "https://www.zhihu.com/search?q=%E8%82%BA%E5%B1%80%E9%83%A8%E7%81%8C%E6%B3%A8%E5%88%86%E6%9E%90&amp;search_source=Entity&amp;hybrid_search_source=Entity&amp;hybrid_search_extra=%7b" \t "https://www.zhihu.com/question/_blank" </w:instrText>
      </w:r>
      <w:r>
        <w:fldChar w:fldCharType="separate"/>
      </w:r>
      <w:r>
        <w:rPr>
          <w:rStyle w:val="17"/>
          <w:rFonts w:hint="eastAsia" w:ascii="宋体" w:hAnsi="宋体" w:cs="宋体"/>
          <w:color w:val="000000" w:themeColor="text1"/>
          <w:szCs w:val="15"/>
          <w:shd w:val="clear" w:color="auto" w:fill="FFFFFF"/>
          <w14:textFill>
            <w14:solidFill>
              <w14:schemeClr w14:val="tx1"/>
            </w14:solidFill>
          </w14:textFill>
        </w:rPr>
        <w:t>肺局部灌注分析</w:t>
      </w:r>
      <w:r>
        <w:rPr>
          <w:rStyle w:val="17"/>
          <w:rFonts w:hint="eastAsia" w:ascii="宋体" w:hAnsi="宋体" w:cs="宋体"/>
          <w:color w:val="000000" w:themeColor="text1"/>
          <w:szCs w:val="15"/>
          <w:shd w:val="clear" w:color="auto" w:fill="FFFFFF"/>
          <w14:textFill>
            <w14:solidFill>
              <w14:schemeClr w14:val="tx1"/>
            </w14:solidFill>
          </w14:textFill>
        </w:rPr>
        <w:fldChar w:fldCharType="end"/>
      </w:r>
      <w:r>
        <w:rPr>
          <w:rFonts w:hint="eastAsia" w:ascii="宋体" w:hAnsi="宋体" w:cs="宋体"/>
        </w:rPr>
        <w:t>、非接触的磁感应断层成像（MIT）等等很多方面。</w:t>
      </w:r>
    </w:p>
    <w:p>
      <w:pPr>
        <w:ind w:firstLine="560"/>
      </w:pPr>
      <w:r>
        <w:rPr>
          <w:rFonts w:hint="eastAsia"/>
        </w:rPr>
        <w:t>然而，目前EIT在常规临床应用中的转化仍然是一个挑战。虽然，近年来，中国已经有近50家医院安装了EIT相关技术的设备。也发表了很多临床研究，但这些大多是EIT在肺部的应用。在关节积液的检测方向基本没有相关应用。</w:t>
      </w:r>
    </w:p>
    <w:p>
      <w:pPr>
        <w:pStyle w:val="4"/>
        <w:rPr>
          <w:rFonts w:ascii="黑体" w:hAnsi="黑体" w:eastAsia="黑体" w:cs="宋体"/>
          <w:b w:val="0"/>
          <w:bCs w:val="0"/>
          <w:sz w:val="24"/>
        </w:rPr>
      </w:pPr>
      <w:bookmarkStart w:id="18" w:name="_Toc132368930"/>
      <w:r>
        <w:rPr>
          <w:rFonts w:ascii="黑体" w:hAnsi="黑体" w:eastAsia="黑体"/>
          <w:b w:val="0"/>
          <w:bCs w:val="0"/>
          <w:sz w:val="24"/>
        </w:rPr>
        <w:t>2</w:t>
      </w:r>
      <w:r>
        <w:rPr>
          <w:rFonts w:hint="eastAsia" w:ascii="黑体" w:hAnsi="黑体" w:eastAsia="黑体"/>
          <w:b w:val="0"/>
          <w:bCs w:val="0"/>
          <w:sz w:val="24"/>
        </w:rPr>
        <w:t>.1.6</w:t>
      </w:r>
      <w:r>
        <w:rPr>
          <w:rFonts w:ascii="黑体" w:hAnsi="黑体" w:eastAsia="黑体"/>
          <w:b w:val="0"/>
          <w:bCs w:val="0"/>
          <w:sz w:val="24"/>
        </w:rPr>
        <w:t xml:space="preserve"> </w:t>
      </w:r>
      <w:r>
        <w:rPr>
          <w:rFonts w:hint="eastAsia" w:ascii="黑体" w:hAnsi="黑体" w:eastAsia="黑体"/>
          <w:b w:val="0"/>
          <w:bCs w:val="0"/>
          <w:sz w:val="24"/>
        </w:rPr>
        <w:t>竞争分析</w:t>
      </w:r>
      <w:bookmarkEnd w:id="18"/>
    </w:p>
    <w:p>
      <w:pPr>
        <w:ind w:firstLine="560"/>
      </w:pPr>
      <w:r>
        <w:t>随着技术不断进步，电阻抗成像商业化步伐不断加快。在我国以及全球范围内，电阻抗成像相关厂商主要有瑞士Sentec、瑞士Swisstom、英国Maltron International、德国Sciospec、德国Draeger、美国GE等国外企业，以及杭州永川科技有限公司、思澜科技（成都）有限公司等国内企业。</w:t>
      </w:r>
    </w:p>
    <w:p/>
    <w:p>
      <w:pPr>
        <w:pStyle w:val="4"/>
        <w:rPr>
          <w:rFonts w:ascii="黑体" w:hAnsi="黑体" w:eastAsia="黑体"/>
          <w:b w:val="0"/>
          <w:bCs w:val="0"/>
          <w:sz w:val="24"/>
        </w:rPr>
      </w:pPr>
      <w:bookmarkStart w:id="19" w:name="_Toc132368931"/>
      <w:r>
        <w:rPr>
          <w:rFonts w:ascii="黑体" w:hAnsi="黑体" w:eastAsia="黑体"/>
          <w:b w:val="0"/>
          <w:bCs w:val="0"/>
          <w:sz w:val="24"/>
        </w:rPr>
        <w:t>2</w:t>
      </w:r>
      <w:r>
        <w:rPr>
          <w:rFonts w:hint="eastAsia" w:ascii="黑体" w:hAnsi="黑体" w:eastAsia="黑体"/>
          <w:b w:val="0"/>
          <w:bCs w:val="0"/>
          <w:sz w:val="24"/>
        </w:rPr>
        <w:t>.1.7</w:t>
      </w:r>
      <w:r>
        <w:rPr>
          <w:rFonts w:ascii="黑体" w:hAnsi="黑体" w:eastAsia="黑体"/>
          <w:b w:val="0"/>
          <w:bCs w:val="0"/>
          <w:sz w:val="24"/>
        </w:rPr>
        <w:t xml:space="preserve"> </w:t>
      </w:r>
      <w:r>
        <w:rPr>
          <w:rFonts w:hint="eastAsia" w:ascii="黑体" w:hAnsi="黑体" w:eastAsia="黑体"/>
          <w:b w:val="0"/>
          <w:bCs w:val="0"/>
          <w:sz w:val="24"/>
        </w:rPr>
        <w:t>竞争优势</w:t>
      </w:r>
      <w:bookmarkEnd w:id="19"/>
    </w:p>
    <w:p>
      <w:pPr>
        <w:numPr>
          <w:ilvl w:val="0"/>
          <w:numId w:val="7"/>
        </w:numPr>
        <w:ind w:firstLine="422" w:firstLineChars="200"/>
        <w:rPr>
          <w:b/>
          <w:bCs/>
        </w:rPr>
      </w:pPr>
      <w:r>
        <w:rPr>
          <w:rFonts w:hint="eastAsia"/>
          <w:b/>
          <w:bCs/>
        </w:rPr>
        <w:t>应用于新领域</w:t>
      </w:r>
    </w:p>
    <w:p>
      <w:pPr>
        <w:ind w:firstLine="560"/>
      </w:pPr>
      <w:r>
        <w:rPr>
          <w:rFonts w:hint="eastAsia"/>
        </w:rPr>
        <w:t>电阻抗成像技术在医学方面有广泛的应用，可用于检测中风、肺气肿、心肌萎缩、膀胱疾病、乳腺癌等。但目前在关节积液检测方向还没有相关运用。</w:t>
      </w:r>
    </w:p>
    <w:p>
      <w:pPr>
        <w:ind w:firstLine="562"/>
        <w:rPr>
          <w:b/>
          <w:bCs/>
        </w:rPr>
      </w:pPr>
      <w:r>
        <w:rPr>
          <w:rFonts w:hint="eastAsia"/>
          <w:b/>
          <w:bCs/>
        </w:rPr>
        <w:t>（2）价比高，易于打入相关市场</w:t>
      </w:r>
    </w:p>
    <w:p>
      <w:pPr>
        <w:ind w:firstLine="560"/>
        <w:rPr>
          <w:rFonts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虽然 EIT 具有巨大的潜力，但是仍有一些因素影响着 EIT 的发展。EIT 的图像重构是非线性病态问题，虽然有很多先进的的图像重构算法，但都不能彻底解决这一问题。要用较少的测量数据反应密集的电导率分布，采集数据的精度对重构的图像影响很大，所以 EIT 系统需要精密的仪器。</w:t>
      </w:r>
    </w:p>
    <w:p>
      <w:pPr>
        <w:ind w:firstLine="560"/>
      </w:pPr>
      <w:r>
        <w:rPr>
          <w:rFonts w:hint="eastAsia" w:ascii="宋体" w:hAnsi="宋体" w:cs="宋体"/>
          <w:color w:val="000000" w:themeColor="text1"/>
          <w:szCs w:val="28"/>
          <w14:textFill>
            <w14:solidFill>
              <w14:schemeClr w14:val="tx1"/>
            </w14:solidFill>
          </w14:textFill>
        </w:rPr>
        <w:t>EIT 在生物医学上的应用对 EIT 硬件系统提出了大量的要求。EIT 实验装置通常包括高速模拟多路复用器和阻抗分析仪。高速模拟多路复用器作为电极开关，用来连接电极和信号输入输出通道。阻抗分析仪用来生成和采集信号，优点是测量精度高、使用方便，但仪器笨重且价格昂贵。而且大多数阻抗分析仪并不遵守人体测量的电气安全标准，因为它们主要用于测量电阻、电感器和电容器（RLC）电路。由于仪器笨重且价格昂贵导致 EIT 系统的使用多限制在实验室和医院，不能在家庭和个人中普及开来。本项目根据一种便携式、低成本、高精度的 EIT 测量系统进行产品设计，此系统设计简单、成本低，利于 EIT 技术的普及，更能迅速打入医院、家庭用户市场。</w:t>
      </w:r>
    </w:p>
    <w:p>
      <w:pPr>
        <w:ind w:firstLine="562"/>
        <w:rPr>
          <w:b/>
          <w:bCs/>
        </w:rPr>
      </w:pPr>
      <w:r>
        <w:rPr>
          <w:rFonts w:hint="eastAsia"/>
          <w:b/>
          <w:bCs/>
        </w:rPr>
        <w:t>（3）简便易携，易于普及</w:t>
      </w:r>
    </w:p>
    <w:p>
      <w:pPr>
        <w:ind w:firstLine="560"/>
        <w:rPr>
          <w:rFonts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EIT技术对人体无创，无电离和辐射危险，系统结构简单，测量简便，可以用于快速的便携式成像，并且在对于人体心血管、食道、胃部等生理活动进行连续动态的图像监护方面具有广泛的应用前景。同时该设备造价低廉、检测费用低的特点非常适合进行广泛的医疗普查。</w:t>
      </w:r>
    </w:p>
    <w:p>
      <w:pPr>
        <w:pStyle w:val="4"/>
        <w:rPr>
          <w:rFonts w:ascii="黑体" w:hAnsi="黑体" w:eastAsia="黑体" w:cs="宋体"/>
          <w:b w:val="0"/>
          <w:bCs w:val="0"/>
          <w:color w:val="000000" w:themeColor="text1"/>
          <w:sz w:val="24"/>
          <w:szCs w:val="36"/>
          <w14:textFill>
            <w14:solidFill>
              <w14:schemeClr w14:val="tx1"/>
            </w14:solidFill>
          </w14:textFill>
        </w:rPr>
      </w:pPr>
      <w:bookmarkStart w:id="20" w:name="_Toc132368932"/>
      <w:r>
        <w:rPr>
          <w:rFonts w:ascii="黑体" w:hAnsi="黑体" w:eastAsia="黑体" w:cs="宋体"/>
          <w:b w:val="0"/>
          <w:bCs w:val="0"/>
          <w:color w:val="000000" w:themeColor="text1"/>
          <w:sz w:val="24"/>
          <w:szCs w:val="36"/>
          <w14:textFill>
            <w14:solidFill>
              <w14:schemeClr w14:val="tx1"/>
            </w14:solidFill>
          </w14:textFill>
        </w:rPr>
        <w:t>2</w:t>
      </w:r>
      <w:r>
        <w:rPr>
          <w:rFonts w:hint="eastAsia" w:ascii="黑体" w:hAnsi="黑体" w:eastAsia="黑体" w:cs="宋体"/>
          <w:b w:val="0"/>
          <w:bCs w:val="0"/>
          <w:color w:val="000000" w:themeColor="text1"/>
          <w:sz w:val="24"/>
          <w:szCs w:val="36"/>
          <w14:textFill>
            <w14:solidFill>
              <w14:schemeClr w14:val="tx1"/>
            </w14:solidFill>
          </w14:textFill>
        </w:rPr>
        <w:t>.1.8</w:t>
      </w:r>
      <w:r>
        <w:rPr>
          <w:rFonts w:ascii="黑体" w:hAnsi="黑体" w:eastAsia="黑体" w:cs="宋体"/>
          <w:b w:val="0"/>
          <w:bCs w:val="0"/>
          <w:color w:val="000000" w:themeColor="text1"/>
          <w:sz w:val="24"/>
          <w:szCs w:val="36"/>
          <w14:textFill>
            <w14:solidFill>
              <w14:schemeClr w14:val="tx1"/>
            </w14:solidFill>
          </w14:textFill>
        </w:rPr>
        <w:t xml:space="preserve"> </w:t>
      </w:r>
      <w:r>
        <w:rPr>
          <w:rFonts w:hint="eastAsia" w:ascii="黑体" w:hAnsi="黑体" w:eastAsia="黑体"/>
          <w:b w:val="0"/>
          <w:bCs w:val="0"/>
          <w:sz w:val="24"/>
        </w:rPr>
        <w:t>竞争劣势及解决方案</w:t>
      </w:r>
      <w:bookmarkEnd w:id="20"/>
    </w:p>
    <w:p>
      <w:pPr>
        <w:ind w:firstLine="560"/>
      </w:pPr>
      <w:r>
        <w:rPr>
          <w:rFonts w:hint="eastAsia"/>
        </w:rPr>
        <w:t>EIT成像相对于已有的成像，例如X光、计算机辅助断层摄影、超声波等，精度不高。对于判断病情而言，医院更愿意用高精度成像设备。但高精度成像设成本高，小型医院往往负担不起，能负担的医院收费标准较高，特别是在不确定患者关节液是否异常，只是简单检测关节液情况时，对于患者来说成本高。本公司EIT成像设备成本极低，每台仅约400元，可以作为医院的辅助医疗器械售卖。</w:t>
      </w:r>
    </w:p>
    <w:p>
      <w:pPr>
        <w:pStyle w:val="4"/>
        <w:rPr>
          <w:rFonts w:ascii="黑体" w:hAnsi="黑体" w:eastAsia="黑体"/>
          <w:b w:val="0"/>
          <w:bCs w:val="0"/>
          <w:sz w:val="24"/>
        </w:rPr>
      </w:pPr>
      <w:bookmarkStart w:id="21" w:name="_Toc132368933"/>
      <w:r>
        <w:rPr>
          <w:rFonts w:ascii="黑体" w:hAnsi="黑体" w:eastAsia="黑体"/>
          <w:b w:val="0"/>
          <w:bCs w:val="0"/>
          <w:sz w:val="24"/>
        </w:rPr>
        <w:t>2</w:t>
      </w:r>
      <w:r>
        <w:rPr>
          <w:rFonts w:hint="eastAsia" w:ascii="黑体" w:hAnsi="黑体" w:eastAsia="黑体"/>
          <w:b w:val="0"/>
          <w:bCs w:val="0"/>
          <w:sz w:val="24"/>
        </w:rPr>
        <w:t>.1.9</w:t>
      </w:r>
      <w:r>
        <w:rPr>
          <w:rFonts w:ascii="黑体" w:hAnsi="黑体" w:eastAsia="黑体"/>
          <w:b w:val="0"/>
          <w:bCs w:val="0"/>
          <w:sz w:val="24"/>
        </w:rPr>
        <w:t xml:space="preserve"> </w:t>
      </w:r>
      <w:r>
        <w:rPr>
          <w:rFonts w:hint="eastAsia" w:ascii="黑体" w:hAnsi="黑体" w:eastAsia="黑体"/>
          <w:b w:val="0"/>
          <w:bCs w:val="0"/>
          <w:sz w:val="24"/>
        </w:rPr>
        <w:t>目标市场</w:t>
      </w:r>
      <w:bookmarkEnd w:id="21"/>
    </w:p>
    <w:p>
      <w:pPr>
        <w:ind w:firstLine="422" w:firstLineChars="200"/>
        <w:rPr>
          <w:b/>
          <w:bCs/>
        </w:rPr>
      </w:pPr>
      <w:r>
        <w:rPr>
          <w:rFonts w:hint="eastAsia"/>
          <w:b/>
          <w:bCs/>
        </w:rPr>
        <w:t>（1）医院</w:t>
      </w:r>
    </w:p>
    <w:p>
      <w:pPr>
        <w:ind w:firstLine="560"/>
      </w:pPr>
      <w:r>
        <w:rPr>
          <w:rFonts w:hint="eastAsia"/>
        </w:rPr>
        <w:t>本公司EIT成像医疗设备可供所有设有关节积液检测的医院使用，也可鼓励没有设有关节积液检测的医院增设检测项目，促进医疗行业发展。</w:t>
      </w:r>
    </w:p>
    <w:p>
      <w:pPr>
        <w:ind w:firstLine="560"/>
        <w:rPr>
          <w:b/>
          <w:bCs/>
        </w:rPr>
      </w:pPr>
      <w:r>
        <w:rPr>
          <w:rFonts w:hint="eastAsia"/>
          <w:b/>
          <w:bCs/>
        </w:rPr>
        <w:t>（2）家庭、企业或者个人</w:t>
      </w:r>
    </w:p>
    <w:p>
      <w:pPr>
        <w:ind w:firstLine="560"/>
      </w:pPr>
      <w:r>
        <w:rPr>
          <w:rFonts w:hint="eastAsia"/>
        </w:rPr>
        <w:t>本公司将产品的成像</w:t>
      </w:r>
      <w:r>
        <w:t>数据处理交给工作站来做，可以</w:t>
      </w:r>
      <w:r>
        <w:rPr>
          <w:rFonts w:hint="eastAsia"/>
        </w:rPr>
        <w:t>随时</w:t>
      </w:r>
      <w:r>
        <w:t>使用手机访问网站</w:t>
      </w:r>
      <w:r>
        <w:rPr>
          <w:rFonts w:hint="eastAsia"/>
        </w:rPr>
        <w:t>或者通过本公司关联手环产品</w:t>
      </w:r>
      <w:r>
        <w:t>来进行结果图像查看。</w:t>
      </w:r>
      <w:r>
        <w:rPr>
          <w:rFonts w:hint="eastAsia"/>
        </w:rPr>
        <w:t>有需求的家庭、企业或者个人可以购买仪器或者手环，或者直接下载本公司APP产品即可获得初步关节积液检测结果，并且在结果异常时提醒就医。</w:t>
      </w:r>
    </w:p>
    <w:p>
      <w:pPr>
        <w:pStyle w:val="4"/>
        <w:rPr>
          <w:rFonts w:ascii="黑体" w:hAnsi="黑体" w:eastAsia="黑体"/>
          <w:b w:val="0"/>
          <w:bCs w:val="0"/>
          <w:sz w:val="24"/>
        </w:rPr>
      </w:pPr>
      <w:bookmarkStart w:id="22" w:name="_Toc132368934"/>
      <w:r>
        <w:rPr>
          <w:rFonts w:ascii="黑体" w:hAnsi="黑体" w:eastAsia="黑体"/>
          <w:b w:val="0"/>
          <w:bCs w:val="0"/>
          <w:sz w:val="24"/>
        </w:rPr>
        <w:t>2</w:t>
      </w:r>
      <w:r>
        <w:rPr>
          <w:rFonts w:hint="eastAsia" w:ascii="黑体" w:hAnsi="黑体" w:eastAsia="黑体"/>
          <w:b w:val="0"/>
          <w:bCs w:val="0"/>
          <w:sz w:val="24"/>
        </w:rPr>
        <w:t>.1.10</w:t>
      </w:r>
      <w:r>
        <w:rPr>
          <w:rFonts w:ascii="黑体" w:hAnsi="黑体" w:eastAsia="黑体"/>
          <w:b w:val="0"/>
          <w:bCs w:val="0"/>
          <w:sz w:val="24"/>
        </w:rPr>
        <w:t xml:space="preserve"> </w:t>
      </w:r>
      <w:r>
        <w:rPr>
          <w:rFonts w:hint="eastAsia" w:ascii="黑体" w:hAnsi="黑体" w:eastAsia="黑体"/>
          <w:b w:val="0"/>
          <w:bCs w:val="0"/>
          <w:sz w:val="24"/>
        </w:rPr>
        <w:t>技术研发方向</w:t>
      </w:r>
      <w:bookmarkEnd w:id="22"/>
    </w:p>
    <w:p>
      <w:pPr>
        <w:ind w:firstLine="560"/>
      </w:pPr>
      <w:r>
        <w:rPr>
          <w:rFonts w:hint="eastAsia"/>
        </w:rPr>
        <w:t>公司将持续进行产品技术研发，不断更新产品功能，提高检测精度等。</w:t>
      </w:r>
    </w:p>
    <w:p>
      <w:pPr>
        <w:tabs>
          <w:tab w:val="left" w:pos="312"/>
        </w:tabs>
      </w:pPr>
    </w:p>
    <w:p>
      <w:pPr>
        <w:pStyle w:val="2"/>
        <w:rPr>
          <w:rFonts w:ascii="黑体" w:hAnsi="黑体" w:eastAsia="黑体"/>
          <w:sz w:val="28"/>
          <w:szCs w:val="36"/>
        </w:rPr>
      </w:pPr>
      <w:bookmarkStart w:id="23" w:name="_Toc132368935"/>
      <w:r>
        <w:rPr>
          <w:rFonts w:hint="eastAsia" w:ascii="黑体" w:hAnsi="黑体" w:eastAsia="黑体"/>
          <w:sz w:val="28"/>
          <w:szCs w:val="36"/>
        </w:rPr>
        <w:t>3</w:t>
      </w:r>
      <w:r>
        <w:rPr>
          <w:rFonts w:ascii="黑体" w:hAnsi="黑体" w:eastAsia="黑体"/>
          <w:sz w:val="28"/>
          <w:szCs w:val="36"/>
        </w:rPr>
        <w:t xml:space="preserve"> </w:t>
      </w:r>
      <w:r>
        <w:rPr>
          <w:rFonts w:hint="eastAsia" w:ascii="黑体" w:hAnsi="黑体" w:eastAsia="黑体"/>
          <w:sz w:val="28"/>
          <w:szCs w:val="36"/>
        </w:rPr>
        <w:t>公司战略</w:t>
      </w:r>
      <w:bookmarkEnd w:id="23"/>
    </w:p>
    <w:p>
      <w:pPr>
        <w:pStyle w:val="25"/>
        <w:numPr>
          <w:ilvl w:val="1"/>
          <w:numId w:val="8"/>
        </w:numPr>
        <w:tabs>
          <w:tab w:val="left" w:pos="312"/>
        </w:tabs>
        <w:ind w:firstLineChars="0"/>
        <w:outlineLvl w:val="1"/>
        <w:rPr>
          <w:rFonts w:ascii="黑体" w:hAnsi="黑体" w:eastAsia="黑体"/>
          <w:sz w:val="24"/>
          <w:szCs w:val="32"/>
        </w:rPr>
      </w:pPr>
      <w:r>
        <w:rPr>
          <w:rFonts w:hint="eastAsia" w:ascii="黑体" w:hAnsi="黑体" w:eastAsia="黑体"/>
          <w:sz w:val="24"/>
        </w:rPr>
        <w:t xml:space="preserve"> </w:t>
      </w:r>
      <w:bookmarkStart w:id="24" w:name="_Toc132368936"/>
      <w:r>
        <w:rPr>
          <w:rFonts w:hint="eastAsia" w:ascii="黑体" w:hAnsi="黑体" w:eastAsia="黑体"/>
          <w:sz w:val="24"/>
        </w:rPr>
        <w:t>产品定位</w:t>
      </w:r>
      <w:bookmarkEnd w:id="24"/>
    </w:p>
    <w:p>
      <w:pPr>
        <w:snapToGrid w:val="0"/>
        <w:spacing w:line="360" w:lineRule="auto"/>
        <w:ind w:firstLine="480" w:firstLineChars="200"/>
        <w:rPr>
          <w:rFonts w:ascii="宋体" w:hAnsi="宋体" w:eastAsia="宋体"/>
          <w:sz w:val="24"/>
        </w:rPr>
      </w:pPr>
      <w:r>
        <w:rPr>
          <w:rFonts w:hint="eastAsia" w:ascii="宋体" w:hAnsi="宋体" w:eastAsia="宋体"/>
          <w:sz w:val="24"/>
        </w:rPr>
        <w:t>公司致力于将电阻抗层析成像技术应用于关节积液检测，开发一套对应的智能</w:t>
      </w:r>
      <w:r>
        <w:rPr>
          <w:rFonts w:ascii="宋体" w:hAnsi="宋体" w:eastAsia="宋体"/>
          <w:sz w:val="24"/>
        </w:rPr>
        <w:t>诊断</w:t>
      </w:r>
      <w:r>
        <w:rPr>
          <w:rFonts w:hint="eastAsia" w:ascii="宋体" w:hAnsi="宋体" w:eastAsia="宋体"/>
          <w:sz w:val="24"/>
        </w:rPr>
        <w:t>系统</w:t>
      </w:r>
      <w:r>
        <w:rPr>
          <w:rFonts w:ascii="宋体" w:hAnsi="宋体" w:eastAsia="宋体"/>
          <w:sz w:val="24"/>
        </w:rPr>
        <w:t>，提供一种更便捷、无创、实时、低成本的关节积液检测方法，以辅助医生准确诊断治疗</w:t>
      </w:r>
      <w:r>
        <w:rPr>
          <w:rFonts w:hint="eastAsia" w:ascii="宋体" w:hAnsi="宋体" w:eastAsia="宋体"/>
          <w:sz w:val="24"/>
        </w:rPr>
        <w:t>，及户外运动者实时监测自身关节积液状况</w:t>
      </w:r>
      <w:r>
        <w:rPr>
          <w:rFonts w:ascii="宋体" w:hAnsi="宋体" w:eastAsia="宋体"/>
          <w:sz w:val="24"/>
        </w:rPr>
        <w:t>。我们的产品主要面向医院、诊所和个人用户。</w:t>
      </w:r>
    </w:p>
    <w:p>
      <w:pPr>
        <w:pStyle w:val="25"/>
        <w:numPr>
          <w:ilvl w:val="1"/>
          <w:numId w:val="8"/>
        </w:numPr>
        <w:snapToGrid w:val="0"/>
        <w:spacing w:line="360" w:lineRule="auto"/>
        <w:ind w:firstLineChars="0"/>
        <w:outlineLvl w:val="1"/>
        <w:rPr>
          <w:rFonts w:ascii="宋体" w:hAnsi="宋体" w:eastAsia="宋体"/>
          <w:sz w:val="22"/>
          <w:szCs w:val="22"/>
        </w:rPr>
      </w:pPr>
      <w:bookmarkStart w:id="25" w:name="_Toc132368937"/>
      <w:r>
        <w:rPr>
          <w:rFonts w:hint="eastAsia" w:ascii="黑体" w:hAnsi="黑体" w:eastAsia="黑体"/>
          <w:sz w:val="24"/>
        </w:rPr>
        <w:t>发展战略</w:t>
      </w:r>
      <w:bookmarkEnd w:id="25"/>
    </w:p>
    <w:p>
      <w:pPr>
        <w:snapToGrid w:val="0"/>
        <w:spacing w:line="360" w:lineRule="auto"/>
        <w:ind w:firstLine="480" w:firstLineChars="200"/>
        <w:rPr>
          <w:rFonts w:ascii="宋体" w:hAnsi="宋体" w:eastAsia="宋体"/>
          <w:sz w:val="24"/>
        </w:rPr>
      </w:pPr>
      <w:r>
        <w:rPr>
          <w:rFonts w:hint="eastAsia" w:ascii="Times New Roman" w:hAnsi="Times New Roman" w:eastAsia="宋体"/>
          <w:sz w:val="24"/>
        </w:rPr>
        <w:t>1-3</w:t>
      </w:r>
      <w:r>
        <w:rPr>
          <w:rFonts w:hint="eastAsia" w:ascii="宋体" w:hAnsi="宋体" w:eastAsia="宋体"/>
          <w:sz w:val="24"/>
        </w:rPr>
        <w:t>年内，打开国内市场，主要靶向市场是医院等大型医疗机构。在初期，公司主要目标是将设备整体系统打造成高品质、高性能的辅助医疗器械，通过集中市场渗透策略，多元化战略和联合经营战略于一体的拓展性战略，从少数城镇医院出发，不断拓展国内市场，将“</w:t>
      </w:r>
      <w:r>
        <w:rPr>
          <w:rFonts w:ascii="宋体" w:hAnsi="宋体" w:eastAsia="宋体"/>
          <w:sz w:val="24"/>
        </w:rPr>
        <w:t>便捷、无创、低成本</w:t>
      </w:r>
      <w:r>
        <w:rPr>
          <w:rFonts w:hint="eastAsia" w:ascii="宋体" w:hAnsi="宋体" w:eastAsia="宋体"/>
          <w:sz w:val="24"/>
        </w:rPr>
        <w:t>”的产品特性深植客户的观念中，提高团队品牌知名度和市场认可度。同时，我们也将致力于技术的研发和成熟，不断优化产品性能和体验。项目中期，公司将逐步渗透拓展个人市场，借助医疗机构带来的产品知名度与可信度，进一步推广产品，让更多的个体用户了解和使用我们的产品，提高市场占有率。后期，团队将产品定位对标运动健康监测手环，以“便宜、便携、受众广泛”为优势切入大众消费市场，扩大市场份额，增加品牌知名度。公司主营业务将转变为面向具有监测自身关节积液需求的个人用户群体，将对标医院销售的医疗设备系统作为辅助业务。同时，团队也将加大品牌营销力度，提高品牌知名度和美誉度，实现企业的可持续发展。</w:t>
      </w:r>
    </w:p>
    <w:p>
      <w:pPr>
        <w:pStyle w:val="25"/>
        <w:numPr>
          <w:ilvl w:val="1"/>
          <w:numId w:val="8"/>
        </w:numPr>
        <w:snapToGrid w:val="0"/>
        <w:spacing w:line="360" w:lineRule="auto"/>
        <w:ind w:firstLineChars="0"/>
        <w:outlineLvl w:val="1"/>
        <w:rPr>
          <w:rFonts w:ascii="宋体" w:hAnsi="宋体" w:eastAsia="宋体"/>
          <w:sz w:val="22"/>
          <w:szCs w:val="22"/>
        </w:rPr>
      </w:pPr>
      <w:bookmarkStart w:id="26" w:name="_Toc132368938"/>
      <w:r>
        <w:rPr>
          <w:rFonts w:hint="eastAsia" w:ascii="黑体" w:hAnsi="黑体" w:eastAsia="黑体"/>
          <w:sz w:val="24"/>
        </w:rPr>
        <w:t>品牌建设</w:t>
      </w:r>
      <w:bookmarkEnd w:id="26"/>
    </w:p>
    <w:p>
      <w:pPr>
        <w:snapToGrid w:val="0"/>
        <w:spacing w:line="360" w:lineRule="auto"/>
        <w:ind w:firstLine="480" w:firstLineChars="200"/>
        <w:rPr>
          <w:rFonts w:ascii="宋体" w:hAnsi="宋体" w:eastAsia="宋体"/>
          <w:sz w:val="24"/>
        </w:rPr>
      </w:pPr>
      <w:r>
        <w:rPr>
          <w:rFonts w:hint="eastAsia" w:ascii="宋体" w:hAnsi="宋体" w:eastAsia="宋体"/>
          <w:sz w:val="24"/>
        </w:rPr>
        <w:t>品牌是符号，是浓缩着企业各种重要信息的标志。把企业的信誉、文化、产品、质量、科技、潜力等重要信息凝炼成一个品牌。企业形象是企业文化进步的象征，也是企业对社会整体利益的还原。我公司将加大研发力度，不断完善升级产品，向客户提供最好的产品和服务，打造国内领先的</w:t>
      </w:r>
      <w:r>
        <w:rPr>
          <w:rFonts w:ascii="Times New Roman" w:hAnsi="Times New Roman" w:eastAsia="宋体"/>
          <w:sz w:val="24"/>
        </w:rPr>
        <w:t>JointEIT</w:t>
      </w:r>
      <w:r>
        <w:rPr>
          <w:rFonts w:hint="eastAsia" w:ascii="宋体" w:hAnsi="宋体" w:eastAsia="宋体"/>
          <w:sz w:val="24"/>
        </w:rPr>
        <w:t>牌产品。</w:t>
      </w:r>
    </w:p>
    <w:p>
      <w:pPr>
        <w:pStyle w:val="3"/>
        <w:rPr>
          <w:rFonts w:ascii="Times New Roman" w:hAnsi="Times New Roman" w:eastAsia="宋体"/>
          <w:b w:val="0"/>
          <w:bCs/>
          <w:sz w:val="22"/>
          <w:szCs w:val="22"/>
        </w:rPr>
      </w:pPr>
      <w:bookmarkStart w:id="27" w:name="_Toc132368939"/>
      <w:r>
        <w:rPr>
          <w:rFonts w:ascii="黑体" w:hAnsi="黑体"/>
          <w:b w:val="0"/>
          <w:bCs/>
          <w:sz w:val="24"/>
        </w:rPr>
        <w:t>3</w:t>
      </w:r>
      <w:r>
        <w:rPr>
          <w:rFonts w:hint="eastAsia" w:ascii="黑体" w:hAnsi="黑体"/>
          <w:b w:val="0"/>
          <w:bCs/>
          <w:sz w:val="24"/>
        </w:rPr>
        <w:t>.4</w:t>
      </w:r>
      <w:r>
        <w:rPr>
          <w:rFonts w:ascii="黑体" w:hAnsi="黑体"/>
          <w:b w:val="0"/>
          <w:bCs/>
          <w:sz w:val="24"/>
        </w:rPr>
        <w:t xml:space="preserve">  </w:t>
      </w:r>
      <w:r>
        <w:rPr>
          <w:rFonts w:hint="eastAsia" w:ascii="黑体" w:hAnsi="黑体"/>
          <w:b w:val="0"/>
          <w:bCs/>
          <w:sz w:val="24"/>
        </w:rPr>
        <w:t>人才战略</w:t>
      </w:r>
      <w:bookmarkEnd w:id="27"/>
    </w:p>
    <w:p>
      <w:pPr>
        <w:snapToGrid w:val="0"/>
        <w:spacing w:line="360" w:lineRule="auto"/>
        <w:ind w:firstLine="480" w:firstLineChars="200"/>
        <w:rPr>
          <w:rFonts w:ascii="宋体" w:hAnsi="宋体" w:eastAsia="宋体"/>
          <w:sz w:val="24"/>
        </w:rPr>
      </w:pPr>
      <w:r>
        <w:rPr>
          <w:rFonts w:hint="eastAsia" w:ascii="宋体" w:hAnsi="宋体" w:eastAsia="宋体"/>
          <w:sz w:val="24"/>
        </w:rPr>
        <w:t>作为技术型企业，公司将重视人才培养和团队建设，聚焦于拥有丰富经验、高度敬业和创新精神的人才，以保持技术领先地位，同时建立具有创新意识和实践能力的研发团队。</w:t>
      </w:r>
      <w:r>
        <w:rPr>
          <w:rFonts w:hint="eastAsia" w:ascii="宋体" w:hAnsi="宋体" w:eastAsia="宋体"/>
          <w:bCs/>
          <w:sz w:val="24"/>
        </w:rPr>
        <w:t>公司</w:t>
      </w:r>
      <w:r>
        <w:rPr>
          <w:rFonts w:hint="eastAsia" w:ascii="宋体" w:hAnsi="宋体" w:eastAsia="宋体"/>
          <w:sz w:val="24"/>
        </w:rPr>
        <w:t>人力资源管理的核心思想是鼓励创新和推行“人本管理”。通过营造鼓励创新的氛围，调动和发挥各级管理人员和员工主观能动性，保持企业的持续发展的动力，突出人在管理中的地位，从而实现以人为中心的管理。为落实企业的人才资源开发工程，抓好人才队伍的建设，建设具有创新精神、责任意识的经营管理队伍和高素质专业技术人才，公司采取了一系列人才战略开发措施。</w:t>
      </w:r>
    </w:p>
    <w:p>
      <w:pPr>
        <w:spacing w:line="360" w:lineRule="auto"/>
        <w:jc w:val="center"/>
        <w:rPr>
          <w:rFonts w:ascii="宋体" w:hAnsi="宋体" w:eastAsia="宋体"/>
          <w:b/>
          <w:bCs/>
          <w:szCs w:val="21"/>
        </w:rPr>
      </w:pPr>
      <w:r>
        <w:rPr>
          <w:rFonts w:hint="eastAsia" w:ascii="宋体" w:hAnsi="宋体" w:eastAsia="宋体"/>
          <w:b/>
          <w:bCs/>
        </w:rPr>
        <w:t xml:space="preserve">表 </w:t>
      </w:r>
      <w:r>
        <w:rPr>
          <w:rFonts w:ascii="Times New Roman" w:hAnsi="Times New Roman" w:eastAsia="宋体"/>
          <w:b/>
          <w:bCs/>
        </w:rPr>
        <w:t xml:space="preserve">1-1 </w:t>
      </w:r>
      <w:r>
        <w:rPr>
          <w:rFonts w:hint="eastAsia" w:ascii="宋体" w:hAnsi="宋体" w:eastAsia="宋体"/>
          <w:b/>
          <w:bCs/>
        </w:rPr>
        <w:t>人才战略开发</w:t>
      </w:r>
    </w:p>
    <w:tbl>
      <w:tblPr>
        <w:tblStyle w:val="14"/>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76"/>
        <w:gridCol w:w="774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4" w:hRule="atLeast"/>
        </w:trPr>
        <w:tc>
          <w:tcPr>
            <w:tcW w:w="776" w:type="dxa"/>
            <w:tcBorders>
              <w:top w:val="single" w:color="auto" w:sz="6" w:space="0"/>
              <w:left w:val="single" w:color="auto" w:sz="6" w:space="0"/>
              <w:bottom w:val="single" w:color="auto" w:sz="6" w:space="0"/>
              <w:right w:val="single" w:color="auto" w:sz="6" w:space="0"/>
            </w:tcBorders>
          </w:tcPr>
          <w:p>
            <w:pPr>
              <w:spacing w:line="360" w:lineRule="auto"/>
              <w:rPr>
                <w:rFonts w:ascii="宋体" w:hAnsi="宋体" w:eastAsia="宋体"/>
                <w:bCs/>
              </w:rPr>
            </w:pPr>
            <w:r>
              <w:rPr>
                <w:rFonts w:hint="eastAsia" w:ascii="宋体" w:hAnsi="宋体" w:eastAsia="宋体"/>
                <w:bCs/>
              </w:rPr>
              <w:t>开发项目</w:t>
            </w:r>
          </w:p>
        </w:tc>
        <w:tc>
          <w:tcPr>
            <w:tcW w:w="7746" w:type="dxa"/>
            <w:tcBorders>
              <w:top w:val="single" w:color="auto" w:sz="6" w:space="0"/>
              <w:left w:val="single" w:color="auto" w:sz="6" w:space="0"/>
              <w:bottom w:val="single" w:color="auto" w:sz="6" w:space="0"/>
              <w:right w:val="single" w:color="auto" w:sz="6" w:space="0"/>
            </w:tcBorders>
          </w:tcPr>
          <w:p>
            <w:pPr>
              <w:spacing w:line="360" w:lineRule="auto"/>
              <w:jc w:val="center"/>
              <w:rPr>
                <w:rFonts w:ascii="宋体" w:hAnsi="宋体" w:eastAsia="宋体"/>
                <w:bCs/>
              </w:rPr>
            </w:pPr>
            <w:r>
              <w:rPr>
                <w:rFonts w:hint="eastAsia" w:ascii="宋体" w:hAnsi="宋体" w:eastAsia="宋体"/>
                <w:bCs/>
              </w:rPr>
              <w:t>开发途径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5" w:hRule="atLeast"/>
        </w:trPr>
        <w:tc>
          <w:tcPr>
            <w:tcW w:w="776" w:type="dxa"/>
            <w:tcBorders>
              <w:top w:val="single" w:color="auto" w:sz="6" w:space="0"/>
              <w:left w:val="single" w:color="auto" w:sz="6" w:space="0"/>
              <w:bottom w:val="single" w:color="auto" w:sz="6" w:space="0"/>
              <w:right w:val="single" w:color="auto" w:sz="6" w:space="0"/>
            </w:tcBorders>
          </w:tcPr>
          <w:p>
            <w:pPr>
              <w:spacing w:line="360" w:lineRule="auto"/>
              <w:rPr>
                <w:rFonts w:ascii="宋体" w:hAnsi="宋体" w:eastAsia="宋体"/>
                <w:bCs/>
              </w:rPr>
            </w:pPr>
            <w:r>
              <w:rPr>
                <w:rFonts w:hint="eastAsia" w:ascii="宋体" w:hAnsi="宋体" w:eastAsia="宋体"/>
                <w:bCs/>
              </w:rPr>
              <w:t>人才培养机制</w:t>
            </w:r>
          </w:p>
        </w:tc>
        <w:tc>
          <w:tcPr>
            <w:tcW w:w="7746" w:type="dxa"/>
            <w:tcBorders>
              <w:top w:val="single" w:color="auto" w:sz="6" w:space="0"/>
              <w:left w:val="single" w:color="auto" w:sz="6" w:space="0"/>
              <w:bottom w:val="single" w:color="auto" w:sz="6" w:space="0"/>
              <w:right w:val="single" w:color="auto" w:sz="6" w:space="0"/>
            </w:tcBorders>
          </w:tcPr>
          <w:p>
            <w:pPr>
              <w:spacing w:line="360" w:lineRule="auto"/>
              <w:ind w:firstLine="420" w:firstLineChars="200"/>
              <w:rPr>
                <w:rFonts w:ascii="宋体" w:hAnsi="宋体" w:eastAsia="宋体"/>
                <w:bCs/>
              </w:rPr>
            </w:pPr>
            <w:r>
              <w:rPr>
                <w:rFonts w:hint="eastAsia" w:ascii="宋体" w:hAnsi="宋体" w:eastAsia="宋体"/>
                <w:bCs/>
              </w:rPr>
              <w:t>1.拓宽人才培养资金渠道，完善人才津贴制度、建立紧缺人才培训补贴制度、健全人才奖励制度、完善职工培训经费的使用制度；</w:t>
            </w:r>
          </w:p>
          <w:p>
            <w:pPr>
              <w:spacing w:line="360" w:lineRule="auto"/>
              <w:ind w:firstLine="420" w:firstLineChars="200"/>
              <w:rPr>
                <w:rFonts w:ascii="宋体" w:hAnsi="宋体" w:eastAsia="宋体"/>
                <w:bCs/>
              </w:rPr>
            </w:pPr>
            <w:r>
              <w:rPr>
                <w:rFonts w:hint="eastAsia" w:ascii="宋体" w:hAnsi="宋体" w:eastAsia="宋体"/>
                <w:bCs/>
              </w:rPr>
              <w:t>2.多途径、多层次培养人才：</w:t>
            </w:r>
          </w:p>
          <w:p>
            <w:pPr>
              <w:spacing w:line="360" w:lineRule="auto"/>
              <w:ind w:firstLine="420" w:firstLineChars="200"/>
              <w:rPr>
                <w:rFonts w:ascii="宋体" w:hAnsi="宋体" w:eastAsia="宋体"/>
                <w:bCs/>
              </w:rPr>
            </w:pPr>
            <w:r>
              <w:rPr>
                <w:rFonts w:hint="eastAsia" w:ascii="宋体" w:hAnsi="宋体" w:eastAsia="宋体"/>
                <w:bCs/>
              </w:rPr>
              <w:t>（1）经营管理人员的培养</w:t>
            </w:r>
          </w:p>
          <w:p>
            <w:pPr>
              <w:numPr>
                <w:ilvl w:val="0"/>
                <w:numId w:val="9"/>
              </w:numPr>
              <w:spacing w:line="360" w:lineRule="auto"/>
              <w:ind w:firstLine="420" w:firstLineChars="200"/>
              <w:rPr>
                <w:rFonts w:ascii="宋体" w:hAnsi="宋体" w:eastAsia="宋体"/>
                <w:bCs/>
              </w:rPr>
            </w:pPr>
            <w:r>
              <w:rPr>
                <w:rFonts w:hint="eastAsia" w:ascii="宋体" w:hAnsi="宋体" w:eastAsia="宋体"/>
                <w:bCs/>
              </w:rPr>
              <w:t>与高等院校联合，利用高校人才优势，培养经营管理人才。</w:t>
            </w:r>
          </w:p>
          <w:p>
            <w:pPr>
              <w:numPr>
                <w:ilvl w:val="0"/>
                <w:numId w:val="9"/>
              </w:numPr>
              <w:spacing w:line="360" w:lineRule="auto"/>
              <w:ind w:firstLine="420" w:firstLineChars="200"/>
              <w:rPr>
                <w:rFonts w:ascii="宋体" w:hAnsi="宋体" w:eastAsia="宋体"/>
                <w:bCs/>
              </w:rPr>
            </w:pPr>
            <w:r>
              <w:rPr>
                <w:rFonts w:hint="eastAsia" w:ascii="宋体" w:hAnsi="宋体" w:eastAsia="宋体"/>
                <w:bCs/>
              </w:rPr>
              <w:t>有计划加强经营管理人才的交流，推行岗位轮换制。</w:t>
            </w:r>
          </w:p>
          <w:p>
            <w:pPr>
              <w:numPr>
                <w:ilvl w:val="0"/>
                <w:numId w:val="9"/>
              </w:numPr>
              <w:spacing w:line="360" w:lineRule="auto"/>
              <w:ind w:firstLine="420" w:firstLineChars="200"/>
              <w:rPr>
                <w:rFonts w:ascii="宋体" w:hAnsi="宋体" w:eastAsia="宋体"/>
                <w:bCs/>
              </w:rPr>
            </w:pPr>
            <w:r>
              <w:rPr>
                <w:rFonts w:hint="eastAsia" w:ascii="宋体" w:hAnsi="宋体" w:eastAsia="宋体"/>
                <w:bCs/>
              </w:rPr>
              <w:t>招聘引进中高级人才。</w:t>
            </w:r>
          </w:p>
          <w:p>
            <w:pPr>
              <w:spacing w:line="360" w:lineRule="auto"/>
              <w:ind w:firstLine="420" w:firstLineChars="200"/>
              <w:rPr>
                <w:rFonts w:ascii="宋体" w:hAnsi="宋体" w:eastAsia="宋体"/>
                <w:bCs/>
              </w:rPr>
            </w:pPr>
            <w:r>
              <w:rPr>
                <w:rFonts w:hint="eastAsia" w:ascii="宋体" w:hAnsi="宋体" w:eastAsia="宋体"/>
                <w:bCs/>
              </w:rPr>
              <w:t>（2）技术人才的培养</w:t>
            </w:r>
          </w:p>
          <w:p>
            <w:pPr>
              <w:numPr>
                <w:ilvl w:val="0"/>
                <w:numId w:val="9"/>
              </w:numPr>
              <w:spacing w:line="360" w:lineRule="auto"/>
              <w:ind w:firstLine="420" w:firstLineChars="200"/>
              <w:rPr>
                <w:rFonts w:ascii="宋体" w:hAnsi="宋体" w:eastAsia="宋体"/>
                <w:bCs/>
              </w:rPr>
            </w:pPr>
            <w:r>
              <w:rPr>
                <w:rFonts w:hint="eastAsia" w:ascii="宋体" w:hAnsi="宋体" w:eastAsia="宋体"/>
                <w:bCs/>
              </w:rPr>
              <w:t>与国内外医疗机构和专家加强交流，开展技术合作和研究合作，互派员工学习先进技术经验。</w:t>
            </w:r>
          </w:p>
          <w:p>
            <w:pPr>
              <w:numPr>
                <w:ilvl w:val="0"/>
                <w:numId w:val="9"/>
              </w:numPr>
              <w:spacing w:line="360" w:lineRule="auto"/>
              <w:ind w:firstLine="420" w:firstLineChars="200"/>
              <w:rPr>
                <w:rFonts w:ascii="宋体" w:hAnsi="宋体" w:eastAsia="宋体"/>
                <w:bCs/>
              </w:rPr>
            </w:pPr>
            <w:r>
              <w:rPr>
                <w:rFonts w:hint="eastAsia" w:ascii="宋体" w:hAnsi="宋体" w:eastAsia="宋体"/>
                <w:bCs/>
              </w:rPr>
              <w:t>采取内培外培、企校联合，设立专项课题，进行技术讲座、专题讲座；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04" w:hRule="atLeast"/>
        </w:trPr>
        <w:tc>
          <w:tcPr>
            <w:tcW w:w="776" w:type="dxa"/>
            <w:tcBorders>
              <w:top w:val="single" w:color="auto" w:sz="6" w:space="0"/>
              <w:left w:val="single" w:color="auto" w:sz="6" w:space="0"/>
              <w:bottom w:val="single" w:color="auto" w:sz="6" w:space="0"/>
              <w:right w:val="single" w:color="auto" w:sz="6" w:space="0"/>
            </w:tcBorders>
          </w:tcPr>
          <w:p>
            <w:pPr>
              <w:spacing w:line="360" w:lineRule="auto"/>
              <w:rPr>
                <w:rFonts w:ascii="宋体" w:hAnsi="宋体" w:eastAsia="宋体"/>
                <w:bCs/>
              </w:rPr>
            </w:pPr>
            <w:r>
              <w:rPr>
                <w:rFonts w:hint="eastAsia" w:ascii="宋体" w:hAnsi="宋体" w:eastAsia="宋体"/>
                <w:bCs/>
              </w:rPr>
              <w:t>人才考核机制</w:t>
            </w:r>
          </w:p>
        </w:tc>
        <w:tc>
          <w:tcPr>
            <w:tcW w:w="7746" w:type="dxa"/>
            <w:tcBorders>
              <w:top w:val="single" w:color="auto" w:sz="6" w:space="0"/>
              <w:left w:val="single" w:color="auto" w:sz="6" w:space="0"/>
              <w:bottom w:val="single" w:color="auto" w:sz="6" w:space="0"/>
              <w:right w:val="single" w:color="auto" w:sz="6" w:space="0"/>
            </w:tcBorders>
          </w:tcPr>
          <w:p>
            <w:pPr>
              <w:spacing w:line="360" w:lineRule="auto"/>
              <w:ind w:firstLine="420" w:firstLineChars="200"/>
              <w:rPr>
                <w:rFonts w:ascii="宋体" w:hAnsi="宋体" w:eastAsia="宋体"/>
                <w:bCs/>
              </w:rPr>
            </w:pPr>
            <w:r>
              <w:rPr>
                <w:rFonts w:hint="eastAsia" w:ascii="宋体" w:hAnsi="宋体" w:eastAsia="宋体"/>
                <w:bCs/>
              </w:rPr>
              <w:t xml:space="preserve">以能力和业绩为导向，注重职业道德和知识水平的人才考评体系: </w:t>
            </w:r>
          </w:p>
          <w:p>
            <w:pPr>
              <w:numPr>
                <w:ilvl w:val="0"/>
                <w:numId w:val="9"/>
              </w:numPr>
              <w:spacing w:line="360" w:lineRule="auto"/>
              <w:ind w:firstLine="420" w:firstLineChars="200"/>
              <w:rPr>
                <w:rFonts w:ascii="宋体" w:hAnsi="宋体" w:eastAsia="宋体"/>
                <w:bCs/>
              </w:rPr>
            </w:pPr>
            <w:r>
              <w:rPr>
                <w:rFonts w:hint="eastAsia" w:ascii="宋体" w:hAnsi="宋体" w:eastAsia="宋体"/>
                <w:bCs/>
              </w:rPr>
              <w:t>在考评内容上，坚持工作能力与工作业绩相结合。</w:t>
            </w:r>
          </w:p>
          <w:p>
            <w:pPr>
              <w:numPr>
                <w:ilvl w:val="0"/>
                <w:numId w:val="9"/>
              </w:numPr>
              <w:spacing w:line="360" w:lineRule="auto"/>
              <w:ind w:firstLine="420" w:firstLineChars="200"/>
              <w:rPr>
                <w:rFonts w:ascii="宋体" w:hAnsi="宋体" w:eastAsia="宋体"/>
                <w:bCs/>
              </w:rPr>
            </w:pPr>
            <w:r>
              <w:rPr>
                <w:rFonts w:hint="eastAsia" w:ascii="宋体" w:hAnsi="宋体" w:eastAsia="宋体"/>
                <w:bCs/>
              </w:rPr>
              <w:t>在考评标准上，坚持国家标准、行业标准、考核标准与岗位要求相结合。</w:t>
            </w:r>
          </w:p>
          <w:p>
            <w:pPr>
              <w:numPr>
                <w:ilvl w:val="0"/>
                <w:numId w:val="9"/>
              </w:numPr>
              <w:spacing w:line="360" w:lineRule="auto"/>
              <w:ind w:firstLine="420" w:firstLineChars="200"/>
              <w:rPr>
                <w:rFonts w:ascii="宋体" w:hAnsi="宋体" w:eastAsia="宋体"/>
                <w:bCs/>
              </w:rPr>
            </w:pPr>
            <w:r>
              <w:rPr>
                <w:rFonts w:hint="eastAsia" w:ascii="宋体" w:hAnsi="宋体" w:eastAsia="宋体"/>
                <w:bCs/>
              </w:rPr>
              <w:t>在考评机制上，坚持专业评价与客户认可相结合。</w:t>
            </w:r>
          </w:p>
          <w:p>
            <w:pPr>
              <w:numPr>
                <w:ilvl w:val="0"/>
                <w:numId w:val="9"/>
              </w:numPr>
              <w:spacing w:line="360" w:lineRule="auto"/>
              <w:ind w:firstLine="420" w:firstLineChars="200"/>
              <w:rPr>
                <w:rFonts w:ascii="宋体" w:hAnsi="宋体" w:eastAsia="宋体"/>
                <w:bCs/>
              </w:rPr>
            </w:pPr>
            <w:r>
              <w:rPr>
                <w:rFonts w:hint="eastAsia" w:ascii="宋体" w:hAnsi="宋体" w:eastAsia="宋体"/>
                <w:bCs/>
              </w:rPr>
              <w:t>在考评实施上，坚持职能部门与技术（业务）部门相结合。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69" w:hRule="atLeast"/>
        </w:trPr>
        <w:tc>
          <w:tcPr>
            <w:tcW w:w="776" w:type="dxa"/>
            <w:tcBorders>
              <w:top w:val="single" w:color="auto" w:sz="6" w:space="0"/>
              <w:left w:val="single" w:color="auto" w:sz="6" w:space="0"/>
              <w:bottom w:val="single" w:color="auto" w:sz="6" w:space="0"/>
              <w:right w:val="single" w:color="auto" w:sz="6" w:space="0"/>
            </w:tcBorders>
          </w:tcPr>
          <w:p>
            <w:pPr>
              <w:spacing w:line="360" w:lineRule="auto"/>
              <w:rPr>
                <w:rFonts w:ascii="宋体" w:hAnsi="宋体" w:eastAsia="宋体"/>
                <w:bCs/>
              </w:rPr>
            </w:pPr>
            <w:r>
              <w:rPr>
                <w:rFonts w:hint="eastAsia" w:ascii="宋体" w:hAnsi="宋体" w:eastAsia="宋体"/>
                <w:bCs/>
              </w:rPr>
              <w:t>人才激励机制</w:t>
            </w:r>
          </w:p>
        </w:tc>
        <w:tc>
          <w:tcPr>
            <w:tcW w:w="7746" w:type="dxa"/>
            <w:tcBorders>
              <w:top w:val="single" w:color="auto" w:sz="6" w:space="0"/>
              <w:left w:val="single" w:color="auto" w:sz="6" w:space="0"/>
              <w:bottom w:val="single" w:color="auto" w:sz="6" w:space="0"/>
              <w:right w:val="single" w:color="auto" w:sz="6" w:space="0"/>
            </w:tcBorders>
          </w:tcPr>
          <w:p>
            <w:pPr>
              <w:numPr>
                <w:ilvl w:val="0"/>
                <w:numId w:val="9"/>
              </w:numPr>
              <w:spacing w:line="360" w:lineRule="auto"/>
              <w:ind w:firstLine="420" w:firstLineChars="200"/>
              <w:rPr>
                <w:rFonts w:ascii="宋体" w:hAnsi="宋体" w:eastAsia="宋体"/>
                <w:bCs/>
              </w:rPr>
            </w:pPr>
            <w:r>
              <w:rPr>
                <w:rFonts w:hint="eastAsia" w:ascii="宋体" w:hAnsi="宋体" w:eastAsia="宋体"/>
                <w:bCs/>
              </w:rPr>
              <w:t>针对不同性质的员工，实现薪酬管理制度的多元化，大力推行以岗定薪、以能力定工资、以贡献定报酬。</w:t>
            </w:r>
          </w:p>
          <w:p>
            <w:pPr>
              <w:numPr>
                <w:ilvl w:val="0"/>
                <w:numId w:val="9"/>
              </w:numPr>
              <w:spacing w:line="360" w:lineRule="auto"/>
              <w:ind w:firstLine="420" w:firstLineChars="200"/>
              <w:rPr>
                <w:rFonts w:ascii="宋体" w:hAnsi="宋体" w:eastAsia="宋体"/>
                <w:bCs/>
              </w:rPr>
            </w:pPr>
            <w:r>
              <w:rPr>
                <w:rFonts w:hint="eastAsia" w:ascii="宋体" w:hAnsi="宋体" w:eastAsia="宋体"/>
                <w:bCs/>
              </w:rPr>
              <w:t>分技术晋升与行政晋升，强化以能力定级别，对于特殊优秀人才准予破格晋升，满足公司成立之初对人才的迫切需求。</w:t>
            </w:r>
          </w:p>
        </w:tc>
      </w:tr>
    </w:tbl>
    <w:p>
      <w:pPr>
        <w:pStyle w:val="3"/>
        <w:rPr>
          <w:rFonts w:ascii="黑体" w:hAnsi="黑体"/>
          <w:b w:val="0"/>
          <w:bCs/>
          <w:sz w:val="24"/>
        </w:rPr>
      </w:pPr>
      <w:bookmarkStart w:id="28" w:name="_Toc132368940"/>
      <w:r>
        <w:rPr>
          <w:rFonts w:ascii="黑体" w:hAnsi="黑体"/>
          <w:b w:val="0"/>
          <w:bCs/>
          <w:sz w:val="24"/>
        </w:rPr>
        <w:t>3</w:t>
      </w:r>
      <w:r>
        <w:rPr>
          <w:rFonts w:hint="eastAsia" w:ascii="黑体" w:hAnsi="黑体"/>
          <w:b w:val="0"/>
          <w:bCs/>
          <w:sz w:val="24"/>
        </w:rPr>
        <w:t>.5</w:t>
      </w:r>
      <w:r>
        <w:rPr>
          <w:rFonts w:ascii="黑体" w:hAnsi="黑体"/>
          <w:b w:val="0"/>
          <w:bCs/>
          <w:sz w:val="24"/>
        </w:rPr>
        <w:t xml:space="preserve">  </w:t>
      </w:r>
      <w:r>
        <w:rPr>
          <w:rFonts w:hint="eastAsia" w:ascii="黑体" w:hAnsi="黑体"/>
          <w:b w:val="0"/>
          <w:bCs/>
          <w:sz w:val="24"/>
        </w:rPr>
        <w:t>技术开发战略</w:t>
      </w:r>
      <w:bookmarkEnd w:id="28"/>
    </w:p>
    <w:p>
      <w:pPr>
        <w:autoSpaceDE w:val="0"/>
        <w:snapToGrid w:val="0"/>
        <w:spacing w:line="360" w:lineRule="auto"/>
        <w:ind w:firstLine="480" w:firstLineChars="200"/>
        <w:rPr>
          <w:rFonts w:ascii="Times New Roman" w:hAnsi="Times New Roman" w:eastAsia="宋体"/>
          <w:sz w:val="28"/>
          <w:szCs w:val="28"/>
        </w:rPr>
      </w:pPr>
      <w:r>
        <w:rPr>
          <w:rFonts w:hint="eastAsia" w:ascii="宋体" w:hAnsi="宋体" w:eastAsia="宋体"/>
          <w:sz w:val="24"/>
        </w:rPr>
        <w:t>本项目将以技术创新作为核心，建立属于本团队自己的研发与技术部，不断研发和改进电阻抗层析成像技术，提高成像精度和稳定性，以满足不同用户的需求，扩大应用范围和市场占有率。同时，激励员工不断超越自我，保持对创新的热情，持续研究和开发新的算法和技术，优化产品性能，提高用户体验。</w:t>
      </w:r>
      <w:r>
        <w:rPr>
          <w:rFonts w:ascii="Times New Roman" w:hAnsi="Times New Roman" w:eastAsia="宋体"/>
          <w:sz w:val="28"/>
          <w:szCs w:val="28"/>
        </w:rPr>
        <w:t xml:space="preserve"> </w:t>
      </w:r>
    </w:p>
    <w:p>
      <w:pPr>
        <w:pStyle w:val="2"/>
        <w:rPr>
          <w:rFonts w:ascii="黑体" w:hAnsi="黑体" w:eastAsia="黑体"/>
          <w:b w:val="0"/>
          <w:bCs w:val="0"/>
          <w:sz w:val="28"/>
          <w:szCs w:val="36"/>
        </w:rPr>
      </w:pPr>
      <w:bookmarkStart w:id="29" w:name="_Toc132368941"/>
      <w:r>
        <w:rPr>
          <w:rFonts w:hint="eastAsia" w:ascii="黑体" w:hAnsi="黑体" w:eastAsia="黑体"/>
          <w:b w:val="0"/>
          <w:bCs w:val="0"/>
          <w:sz w:val="28"/>
          <w:szCs w:val="36"/>
        </w:rPr>
        <w:t>4</w:t>
      </w:r>
      <w:r>
        <w:rPr>
          <w:rFonts w:ascii="黑体" w:hAnsi="黑体" w:eastAsia="黑体"/>
          <w:b w:val="0"/>
          <w:bCs w:val="0"/>
          <w:sz w:val="28"/>
          <w:szCs w:val="36"/>
        </w:rPr>
        <w:t xml:space="preserve"> </w:t>
      </w:r>
      <w:r>
        <w:rPr>
          <w:rFonts w:hint="eastAsia" w:ascii="黑体" w:hAnsi="黑体" w:eastAsia="黑体"/>
          <w:b w:val="0"/>
          <w:bCs w:val="0"/>
          <w:sz w:val="28"/>
          <w:szCs w:val="36"/>
        </w:rPr>
        <w:t>市行营销</w:t>
      </w:r>
      <w:bookmarkEnd w:id="29"/>
    </w:p>
    <w:p>
      <w:pPr>
        <w:pStyle w:val="3"/>
        <w:rPr>
          <w:rFonts w:ascii="黑体" w:hAnsi="黑体"/>
          <w:b w:val="0"/>
          <w:bCs/>
          <w:sz w:val="24"/>
        </w:rPr>
      </w:pPr>
      <w:bookmarkStart w:id="30" w:name="_Toc132368942"/>
      <w:r>
        <w:rPr>
          <w:rFonts w:hint="eastAsia" w:ascii="黑体" w:hAnsi="黑体"/>
          <w:b w:val="0"/>
          <w:bCs/>
          <w:sz w:val="24"/>
        </w:rPr>
        <w:t>4.1</w:t>
      </w:r>
      <w:r>
        <w:rPr>
          <w:rFonts w:ascii="黑体" w:hAnsi="黑体"/>
          <w:b w:val="0"/>
          <w:bCs/>
          <w:sz w:val="24"/>
        </w:rPr>
        <w:t xml:space="preserve"> </w:t>
      </w:r>
      <w:r>
        <w:rPr>
          <w:rFonts w:hint="eastAsia" w:ascii="黑体" w:hAnsi="黑体"/>
          <w:b w:val="0"/>
          <w:bCs/>
          <w:sz w:val="24"/>
        </w:rPr>
        <w:t>市场定位</w:t>
      </w:r>
      <w:bookmarkEnd w:id="30"/>
    </w:p>
    <w:p>
      <w:pPr>
        <w:autoSpaceDE w:val="0"/>
        <w:snapToGrid w:val="0"/>
        <w:spacing w:line="360" w:lineRule="auto"/>
        <w:ind w:firstLine="480" w:firstLineChars="200"/>
        <w:rPr>
          <w:rFonts w:ascii="宋体" w:hAnsi="宋体" w:eastAsia="宋体"/>
          <w:sz w:val="24"/>
        </w:rPr>
      </w:pPr>
      <w:r>
        <w:rPr>
          <w:rFonts w:hint="eastAsia" w:ascii="宋体" w:hAnsi="宋体" w:eastAsia="宋体"/>
          <w:sz w:val="24"/>
        </w:rPr>
        <w:t>我们的产品将主要面向国内外的医疗机构和专业医生市场，以及涉及关节积液检测需求的个人市场。针对不同的用户群体，我们将采取不同的营销策略，通过多元化渠道来推广我们的产品。</w:t>
      </w:r>
    </w:p>
    <w:p>
      <w:pPr>
        <w:pStyle w:val="3"/>
        <w:rPr>
          <w:rFonts w:ascii="黑体" w:hAnsi="黑体"/>
          <w:b w:val="0"/>
          <w:bCs/>
          <w:sz w:val="28"/>
          <w:szCs w:val="28"/>
        </w:rPr>
      </w:pPr>
      <w:bookmarkStart w:id="31" w:name="_Toc132368943"/>
      <w:r>
        <w:rPr>
          <w:rFonts w:hint="eastAsia" w:ascii="黑体" w:hAnsi="黑体"/>
          <w:b w:val="0"/>
          <w:bCs/>
          <w:sz w:val="28"/>
          <w:szCs w:val="28"/>
        </w:rPr>
        <w:t>4.2</w:t>
      </w:r>
      <w:r>
        <w:rPr>
          <w:rFonts w:ascii="黑体" w:hAnsi="黑体"/>
          <w:b w:val="0"/>
          <w:bCs/>
          <w:sz w:val="28"/>
          <w:szCs w:val="28"/>
        </w:rPr>
        <w:t xml:space="preserve"> </w:t>
      </w:r>
      <w:r>
        <w:rPr>
          <w:rFonts w:hint="eastAsia" w:ascii="黑体" w:hAnsi="黑体"/>
          <w:b w:val="0"/>
          <w:bCs/>
          <w:sz w:val="28"/>
          <w:szCs w:val="28"/>
        </w:rPr>
        <w:t>宣传推广</w:t>
      </w:r>
      <w:bookmarkEnd w:id="31"/>
    </w:p>
    <w:p>
      <w:pPr>
        <w:snapToGrid w:val="0"/>
        <w:spacing w:line="360" w:lineRule="auto"/>
        <w:ind w:firstLine="480" w:firstLineChars="200"/>
        <w:rPr>
          <w:rFonts w:ascii="宋体" w:hAnsi="宋体" w:eastAsia="宋体"/>
          <w:sz w:val="24"/>
        </w:rPr>
      </w:pPr>
      <w:r>
        <w:rPr>
          <w:rFonts w:hint="eastAsia" w:ascii="宋体" w:hAnsi="宋体" w:eastAsia="宋体"/>
          <w:sz w:val="24"/>
        </w:rPr>
        <w:t>我们的公司将通过多种渠道进行宣传推广，如行业展会、学术研讨会等，向目标市场推广电阻抗层析成像技术在关节积液检测方面的优势和应用。我们也将建立与医疗机构和专家的紧密合作关系，通过技术演示和培训等方式加强产品和技术的宣传，借助专业渠道向目标用户推广我们的产品，并获得其支持和认可。</w:t>
      </w:r>
    </w:p>
    <w:p>
      <w:pPr>
        <w:pStyle w:val="25"/>
        <w:numPr>
          <w:ilvl w:val="2"/>
          <w:numId w:val="10"/>
        </w:numPr>
        <w:snapToGrid w:val="0"/>
        <w:spacing w:line="360" w:lineRule="auto"/>
        <w:ind w:firstLineChars="0"/>
        <w:outlineLvl w:val="2"/>
        <w:rPr>
          <w:rFonts w:ascii="黑体" w:hAnsi="黑体" w:eastAsia="黑体"/>
          <w:sz w:val="24"/>
        </w:rPr>
      </w:pPr>
      <w:bookmarkStart w:id="32" w:name="_Toc132368944"/>
      <w:r>
        <w:rPr>
          <w:rFonts w:hint="eastAsia" w:ascii="黑体" w:hAnsi="黑体" w:eastAsia="黑体"/>
          <w:sz w:val="24"/>
        </w:rPr>
        <w:t>体验营销</w:t>
      </w:r>
      <w:bookmarkEnd w:id="32"/>
    </w:p>
    <w:p>
      <w:pPr>
        <w:snapToGrid w:val="0"/>
        <w:spacing w:line="360" w:lineRule="auto"/>
        <w:ind w:firstLine="480" w:firstLineChars="200"/>
        <w:rPr>
          <w:rFonts w:ascii="宋体" w:hAnsi="宋体" w:eastAsia="宋体"/>
          <w:sz w:val="24"/>
        </w:rPr>
      </w:pPr>
      <w:r>
        <w:rPr>
          <w:rFonts w:hint="eastAsia" w:ascii="宋体" w:hAnsi="宋体" w:eastAsia="宋体"/>
          <w:sz w:val="24"/>
        </w:rPr>
        <w:t>我们将通过组织线下活动、提供免费试用等方式，让潜在用户亲身体验我们的产品，增强他们的信心和认可度，从而促进销售。此外，我们还将建立客户服务中心，及时响应用户反馈和需求，提供贴心的售后服务。</w:t>
      </w:r>
    </w:p>
    <w:p>
      <w:pPr>
        <w:pStyle w:val="25"/>
        <w:numPr>
          <w:ilvl w:val="2"/>
          <w:numId w:val="10"/>
        </w:numPr>
        <w:snapToGrid w:val="0"/>
        <w:spacing w:line="360" w:lineRule="auto"/>
        <w:ind w:firstLineChars="0"/>
        <w:outlineLvl w:val="2"/>
        <w:rPr>
          <w:rFonts w:ascii="黑体" w:hAnsi="黑体" w:eastAsia="黑体"/>
          <w:sz w:val="24"/>
          <w:szCs w:val="32"/>
        </w:rPr>
      </w:pPr>
      <w:bookmarkStart w:id="33" w:name="_Toc132368945"/>
      <w:r>
        <w:rPr>
          <w:rFonts w:hint="eastAsia" w:ascii="黑体" w:hAnsi="黑体" w:eastAsia="黑体"/>
          <w:sz w:val="24"/>
          <w:szCs w:val="32"/>
        </w:rPr>
        <w:t>线上营销</w:t>
      </w:r>
      <w:bookmarkEnd w:id="33"/>
    </w:p>
    <w:p>
      <w:pPr>
        <w:snapToGrid w:val="0"/>
        <w:spacing w:line="360" w:lineRule="auto"/>
        <w:ind w:firstLine="480" w:firstLineChars="200"/>
        <w:rPr>
          <w:rFonts w:ascii="宋体" w:hAnsi="宋体" w:eastAsia="宋体"/>
          <w:sz w:val="24"/>
        </w:rPr>
      </w:pPr>
      <w:r>
        <w:rPr>
          <w:rFonts w:hint="eastAsia" w:ascii="宋体" w:hAnsi="宋体" w:eastAsia="宋体"/>
          <w:sz w:val="24"/>
        </w:rPr>
        <w:t>我们将大范围开拓网络推广渠道，通过线上宣传、搜索引擎优化、社交媒体推广等方式，提高产品在网络上的曝光率，吸引更多的潜在用户关注和使用我们的产品。</w:t>
      </w:r>
    </w:p>
    <w:p>
      <w:pPr>
        <w:pStyle w:val="25"/>
        <w:numPr>
          <w:ilvl w:val="2"/>
          <w:numId w:val="10"/>
        </w:numPr>
        <w:snapToGrid w:val="0"/>
        <w:spacing w:line="360" w:lineRule="auto"/>
        <w:ind w:firstLineChars="0"/>
        <w:outlineLvl w:val="2"/>
        <w:rPr>
          <w:rFonts w:ascii="黑体" w:hAnsi="黑体" w:eastAsia="黑体"/>
          <w:sz w:val="24"/>
          <w:szCs w:val="40"/>
        </w:rPr>
      </w:pPr>
      <w:bookmarkStart w:id="34" w:name="_Toc132368946"/>
      <w:r>
        <w:rPr>
          <w:rFonts w:hint="eastAsia" w:ascii="黑体" w:hAnsi="黑体" w:eastAsia="黑体"/>
          <w:sz w:val="24"/>
          <w:szCs w:val="40"/>
        </w:rPr>
        <w:t>价格策略</w:t>
      </w:r>
      <w:bookmarkEnd w:id="34"/>
    </w:p>
    <w:p>
      <w:pPr>
        <w:snapToGrid w:val="0"/>
        <w:spacing w:line="360" w:lineRule="auto"/>
        <w:ind w:firstLine="480" w:firstLineChars="200"/>
        <w:rPr>
          <w:rFonts w:ascii="宋体" w:hAnsi="宋体" w:eastAsia="宋体"/>
          <w:sz w:val="24"/>
        </w:rPr>
      </w:pPr>
      <w:r>
        <w:rPr>
          <w:rFonts w:hint="eastAsia" w:ascii="宋体" w:hAnsi="宋体" w:eastAsia="宋体"/>
          <w:sz w:val="24"/>
        </w:rPr>
        <w:t>公司将制定合理的价格策略，以市场需求和竞争情况为基础，同时考虑产品成本和利润等因素。我们将根据不同市场和用户的需求，提供多种价格方案和付款方式，以满足不同用户的需求。</w:t>
      </w:r>
    </w:p>
    <w:p>
      <w:pPr>
        <w:pStyle w:val="2"/>
        <w:rPr>
          <w:rFonts w:ascii="黑体" w:hAnsi="黑体" w:eastAsia="黑体"/>
          <w:b w:val="0"/>
          <w:bCs w:val="0"/>
          <w:sz w:val="28"/>
          <w:szCs w:val="36"/>
        </w:rPr>
      </w:pPr>
      <w:bookmarkStart w:id="35" w:name="_Toc132368947"/>
      <w:r>
        <w:rPr>
          <w:rFonts w:hint="eastAsia" w:ascii="黑体" w:hAnsi="黑体" w:eastAsia="黑体"/>
          <w:b w:val="0"/>
          <w:bCs w:val="0"/>
          <w:sz w:val="28"/>
          <w:szCs w:val="36"/>
        </w:rPr>
        <w:t>5</w:t>
      </w:r>
      <w:r>
        <w:rPr>
          <w:rFonts w:ascii="黑体" w:hAnsi="黑体" w:eastAsia="黑体"/>
          <w:b w:val="0"/>
          <w:bCs w:val="0"/>
          <w:sz w:val="28"/>
          <w:szCs w:val="36"/>
        </w:rPr>
        <w:t xml:space="preserve"> </w:t>
      </w:r>
      <w:r>
        <w:rPr>
          <w:rFonts w:hint="eastAsia" w:ascii="黑体" w:hAnsi="黑体" w:eastAsia="黑体"/>
          <w:b w:val="0"/>
          <w:bCs w:val="0"/>
          <w:sz w:val="28"/>
          <w:szCs w:val="36"/>
        </w:rPr>
        <w:t>财务分析</w:t>
      </w:r>
      <w:bookmarkEnd w:id="35"/>
    </w:p>
    <w:p>
      <w:pPr>
        <w:pStyle w:val="3"/>
        <w:rPr>
          <w:rFonts w:ascii="黑体" w:hAnsi="黑体"/>
          <w:b w:val="0"/>
          <w:bCs/>
          <w:sz w:val="24"/>
        </w:rPr>
      </w:pPr>
      <w:bookmarkStart w:id="36" w:name="_Toc132368948"/>
      <w:r>
        <w:rPr>
          <w:rFonts w:ascii="黑体" w:hAnsi="黑体"/>
          <w:b w:val="0"/>
          <w:bCs/>
          <w:sz w:val="24"/>
        </w:rPr>
        <w:t>5.1</w:t>
      </w:r>
      <w:r>
        <w:rPr>
          <w:rFonts w:hint="eastAsia" w:ascii="黑体" w:hAnsi="黑体"/>
          <w:b w:val="0"/>
          <w:bCs/>
          <w:sz w:val="24"/>
        </w:rPr>
        <w:t>运营成本和费用估计</w:t>
      </w:r>
      <w:bookmarkEnd w:id="36"/>
    </w:p>
    <w:p>
      <w:pPr>
        <w:pStyle w:val="4"/>
        <w:rPr>
          <w:rFonts w:ascii="黑体" w:hAnsi="黑体" w:eastAsia="黑体"/>
          <w:b w:val="0"/>
          <w:bCs w:val="0"/>
          <w:sz w:val="24"/>
          <w:szCs w:val="24"/>
        </w:rPr>
      </w:pPr>
      <w:bookmarkStart w:id="37" w:name="_Toc132368949"/>
      <w:r>
        <w:rPr>
          <w:rFonts w:ascii="黑体" w:hAnsi="黑体" w:eastAsia="黑体"/>
          <w:b w:val="0"/>
          <w:bCs w:val="0"/>
          <w:sz w:val="24"/>
          <w:szCs w:val="24"/>
        </w:rPr>
        <w:t>5.1.1</w:t>
      </w:r>
      <w:r>
        <w:rPr>
          <w:rFonts w:hint="eastAsia" w:ascii="黑体" w:hAnsi="黑体" w:eastAsia="黑体"/>
          <w:b w:val="0"/>
          <w:bCs w:val="0"/>
          <w:sz w:val="24"/>
          <w:szCs w:val="24"/>
        </w:rPr>
        <w:t>公司财务运营基本会计假设</w:t>
      </w:r>
      <w:bookmarkEnd w:id="37"/>
    </w:p>
    <w:p>
      <w:pPr>
        <w:spacing w:line="300" w:lineRule="auto"/>
        <w:rPr>
          <w:rFonts w:ascii="宋体" w:hAnsi="宋体" w:eastAsia="宋体"/>
          <w:szCs w:val="21"/>
        </w:rPr>
      </w:pPr>
      <w:r>
        <w:rPr>
          <w:rFonts w:hint="eastAsia" w:ascii="宋体" w:hAnsi="宋体" w:eastAsia="宋体"/>
          <w:szCs w:val="21"/>
        </w:rPr>
        <w:t>（1）</w:t>
      </w:r>
      <w:r>
        <w:rPr>
          <w:rFonts w:hint="eastAsia" w:ascii="宋体" w:hAnsi="宋体" w:eastAsia="宋体"/>
          <w:b/>
          <w:bCs/>
          <w:szCs w:val="21"/>
        </w:rPr>
        <w:t>遵循企业会计准则的声明：</w:t>
      </w:r>
      <w:r>
        <w:rPr>
          <w:rFonts w:hint="eastAsia" w:ascii="宋体" w:hAnsi="宋体" w:eastAsia="宋体"/>
          <w:szCs w:val="21"/>
        </w:rPr>
        <w:t>本公司编制的财务报表符合企业会计准则的要求，真实、完整地反映公司的财务状况、经营成果和现金流量等有关信息。</w:t>
      </w:r>
    </w:p>
    <w:p>
      <w:pPr>
        <w:spacing w:line="300" w:lineRule="auto"/>
        <w:rPr>
          <w:rFonts w:ascii="宋体" w:hAnsi="宋体" w:eastAsia="宋体"/>
          <w:szCs w:val="21"/>
        </w:rPr>
      </w:pPr>
      <w:r>
        <w:rPr>
          <w:rFonts w:hint="eastAsia" w:ascii="宋体" w:hAnsi="宋体" w:eastAsia="宋体"/>
          <w:szCs w:val="21"/>
        </w:rPr>
        <w:t>（2）</w:t>
      </w:r>
      <w:r>
        <w:rPr>
          <w:rFonts w:hint="eastAsia" w:ascii="宋体" w:hAnsi="宋体" w:eastAsia="宋体"/>
          <w:b/>
          <w:bCs/>
          <w:szCs w:val="21"/>
        </w:rPr>
        <w:t>会计期间：</w:t>
      </w:r>
      <w:r>
        <w:rPr>
          <w:rFonts w:hint="eastAsia" w:ascii="宋体" w:hAnsi="宋体" w:eastAsia="宋体"/>
          <w:szCs w:val="21"/>
        </w:rPr>
        <w:t>本公司会计期间为公历</w:t>
      </w:r>
      <w:r>
        <w:rPr>
          <w:rFonts w:ascii="宋体" w:hAnsi="宋体" w:eastAsia="宋体"/>
          <w:szCs w:val="21"/>
        </w:rPr>
        <w:t>1月1日至12月31。</w:t>
      </w:r>
    </w:p>
    <w:p>
      <w:pPr>
        <w:spacing w:line="300" w:lineRule="auto"/>
        <w:rPr>
          <w:rFonts w:ascii="宋体" w:hAnsi="宋体" w:eastAsia="宋体"/>
          <w:szCs w:val="21"/>
        </w:rPr>
      </w:pPr>
      <w:r>
        <w:rPr>
          <w:rFonts w:hint="eastAsia" w:ascii="宋体" w:hAnsi="宋体" w:eastAsia="宋体"/>
          <w:szCs w:val="21"/>
        </w:rPr>
        <w:t>（3）</w:t>
      </w:r>
      <w:r>
        <w:rPr>
          <w:rFonts w:hint="eastAsia" w:ascii="宋体" w:hAnsi="宋体" w:eastAsia="宋体"/>
          <w:b/>
          <w:bCs/>
          <w:szCs w:val="21"/>
        </w:rPr>
        <w:t>营业周期：</w:t>
      </w:r>
      <w:r>
        <w:rPr>
          <w:rFonts w:hint="eastAsia" w:ascii="宋体" w:hAnsi="宋体" w:eastAsia="宋体"/>
          <w:szCs w:val="21"/>
        </w:rPr>
        <w:t>本公司以一年（1</w:t>
      </w:r>
      <w:r>
        <w:rPr>
          <w:rFonts w:ascii="宋体" w:hAnsi="宋体" w:eastAsia="宋体"/>
          <w:szCs w:val="21"/>
        </w:rPr>
        <w:t>2</w:t>
      </w:r>
      <w:r>
        <w:rPr>
          <w:rFonts w:hint="eastAsia" w:ascii="宋体" w:hAnsi="宋体" w:eastAsia="宋体"/>
          <w:szCs w:val="21"/>
        </w:rPr>
        <w:t>个月）作为正常营业周期</w:t>
      </w:r>
    </w:p>
    <w:p>
      <w:pPr>
        <w:spacing w:line="300" w:lineRule="auto"/>
        <w:rPr>
          <w:rFonts w:ascii="宋体" w:hAnsi="宋体" w:eastAsia="宋体"/>
          <w:szCs w:val="21"/>
        </w:rPr>
      </w:pPr>
      <w:r>
        <w:rPr>
          <w:rFonts w:hint="eastAsia" w:ascii="宋体" w:hAnsi="宋体" w:eastAsia="宋体"/>
          <w:szCs w:val="21"/>
        </w:rPr>
        <w:t>（3）</w:t>
      </w:r>
      <w:r>
        <w:rPr>
          <w:rFonts w:hint="eastAsia" w:ascii="宋体" w:hAnsi="宋体" w:eastAsia="宋体"/>
          <w:b/>
          <w:bCs/>
          <w:szCs w:val="21"/>
        </w:rPr>
        <w:t>记账本位币：</w:t>
      </w:r>
      <w:r>
        <w:rPr>
          <w:rFonts w:hint="eastAsia" w:ascii="宋体" w:hAnsi="宋体" w:eastAsia="宋体"/>
          <w:szCs w:val="21"/>
        </w:rPr>
        <w:t>本公司以人民币为记账本位币。</w:t>
      </w:r>
    </w:p>
    <w:p>
      <w:pPr>
        <w:spacing w:line="300" w:lineRule="auto"/>
        <w:rPr>
          <w:rFonts w:ascii="宋体" w:hAnsi="宋体" w:eastAsia="宋体"/>
          <w:szCs w:val="21"/>
        </w:rPr>
      </w:pPr>
      <w:r>
        <w:rPr>
          <w:rFonts w:hint="eastAsia" w:ascii="宋体" w:hAnsi="宋体" w:eastAsia="宋体"/>
          <w:szCs w:val="21"/>
        </w:rPr>
        <w:t>（4）</w:t>
      </w:r>
      <w:r>
        <w:rPr>
          <w:rFonts w:hint="eastAsia" w:ascii="宋体" w:hAnsi="宋体" w:eastAsia="宋体"/>
          <w:b/>
          <w:bCs/>
          <w:szCs w:val="21"/>
        </w:rPr>
        <w:t>会计计量属性：</w:t>
      </w:r>
      <w:r>
        <w:rPr>
          <w:rFonts w:hint="eastAsia" w:ascii="宋体" w:hAnsi="宋体" w:eastAsia="宋体"/>
          <w:szCs w:val="21"/>
        </w:rPr>
        <w:t>本公司会计核算以权责发生制为记账基础，除交易性金融资产、可供出售金融资产以公允价值计量外，均以历史成本为计价原则。公司预期生产经营良好，不考虑计提各项资产减值准备。</w:t>
      </w:r>
    </w:p>
    <w:p>
      <w:pPr>
        <w:spacing w:line="300" w:lineRule="auto"/>
        <w:rPr>
          <w:rFonts w:ascii="宋体" w:hAnsi="宋体" w:eastAsia="宋体"/>
          <w:szCs w:val="21"/>
        </w:rPr>
      </w:pPr>
      <w:r>
        <w:rPr>
          <w:rFonts w:hint="eastAsia" w:ascii="宋体" w:hAnsi="宋体" w:eastAsia="宋体"/>
          <w:szCs w:val="21"/>
        </w:rPr>
        <w:t>（5）根据会计准则的相关规定公司作为会计核算主体，拟对从公司成立之日起至未来</w:t>
      </w:r>
      <w:r>
        <w:rPr>
          <w:rFonts w:ascii="宋体" w:hAnsi="宋体" w:eastAsia="宋体"/>
          <w:szCs w:val="21"/>
        </w:rPr>
        <w:t>5年的总体财务经营与运行情况结合市场分析与实际情况进行完整</w:t>
      </w:r>
      <w:r>
        <w:rPr>
          <w:rFonts w:hint="eastAsia" w:ascii="宋体" w:hAnsi="宋体" w:eastAsia="宋体"/>
          <w:szCs w:val="21"/>
        </w:rPr>
        <w:t>的</w:t>
      </w:r>
      <w:r>
        <w:rPr>
          <w:rFonts w:ascii="宋体" w:hAnsi="宋体" w:eastAsia="宋体"/>
          <w:szCs w:val="21"/>
        </w:rPr>
        <w:t>5个会计年度预测试算</w:t>
      </w:r>
      <w:r>
        <w:rPr>
          <w:rFonts w:hint="eastAsia" w:ascii="宋体" w:hAnsi="宋体" w:eastAsia="宋体"/>
          <w:szCs w:val="21"/>
        </w:rPr>
        <w:t>。</w:t>
      </w:r>
    </w:p>
    <w:p>
      <w:pPr>
        <w:spacing w:line="300" w:lineRule="auto"/>
        <w:rPr>
          <w:rFonts w:ascii="宋体" w:hAnsi="宋体" w:eastAsia="宋体"/>
          <w:szCs w:val="21"/>
        </w:rPr>
      </w:pPr>
      <w:r>
        <w:rPr>
          <w:rFonts w:hint="eastAsia" w:ascii="宋体" w:hAnsi="宋体" w:eastAsia="宋体"/>
          <w:szCs w:val="21"/>
        </w:rPr>
        <w:t>（</w:t>
      </w:r>
      <w:r>
        <w:rPr>
          <w:rFonts w:ascii="宋体" w:hAnsi="宋体" w:eastAsia="宋体"/>
          <w:szCs w:val="21"/>
        </w:rPr>
        <w:t>6）在试算的5个完整会计年度，不考虑银行利率变动的影响，不考虑自</w:t>
      </w:r>
      <w:r>
        <w:rPr>
          <w:rFonts w:hint="eastAsia" w:ascii="宋体" w:hAnsi="宋体" w:eastAsia="宋体"/>
          <w:szCs w:val="21"/>
        </w:rPr>
        <w:t>然灾害等不可抗因素的影响，且不考虑进行其他资产投</w:t>
      </w:r>
      <w:r>
        <w:rPr>
          <w:rFonts w:ascii="宋体" w:hAnsi="宋体" w:eastAsia="宋体"/>
          <w:szCs w:val="21"/>
        </w:rPr>
        <w:tab/>
      </w:r>
      <w:r>
        <w:rPr>
          <w:rFonts w:hint="eastAsia" w:ascii="宋体" w:hAnsi="宋体" w:eastAsia="宋体"/>
          <w:szCs w:val="21"/>
        </w:rPr>
        <w:t>资。</w:t>
      </w:r>
    </w:p>
    <w:p>
      <w:pPr>
        <w:spacing w:line="300" w:lineRule="auto"/>
        <w:rPr>
          <w:rFonts w:ascii="宋体" w:hAnsi="宋体" w:eastAsia="宋体"/>
          <w:szCs w:val="21"/>
        </w:rPr>
      </w:pPr>
      <w:r>
        <w:rPr>
          <w:rFonts w:hint="eastAsia" w:ascii="宋体" w:hAnsi="宋体" w:eastAsia="宋体"/>
          <w:szCs w:val="21"/>
        </w:rPr>
        <w:t>（</w:t>
      </w:r>
      <w:r>
        <w:rPr>
          <w:rFonts w:ascii="宋体" w:hAnsi="宋体" w:eastAsia="宋体"/>
          <w:szCs w:val="21"/>
        </w:rPr>
        <w:t>7）公司持续经营5年内，不考虑对外贸易或技术转让，除对无</w:t>
      </w:r>
      <w:r>
        <w:rPr>
          <w:rFonts w:hint="eastAsia" w:ascii="宋体" w:hAnsi="宋体" w:eastAsia="宋体"/>
          <w:szCs w:val="21"/>
        </w:rPr>
        <w:t>息无担保注资按照接收投资者投入资本时签署的相关协议，分</w:t>
      </w:r>
      <w:r>
        <w:rPr>
          <w:rFonts w:ascii="宋体" w:hAnsi="宋体" w:eastAsia="宋体"/>
          <w:szCs w:val="21"/>
        </w:rPr>
        <w:t>5年期偿还股本</w:t>
      </w:r>
      <w:r>
        <w:rPr>
          <w:rFonts w:hint="eastAsia" w:ascii="宋体" w:hAnsi="宋体" w:eastAsia="宋体"/>
          <w:szCs w:val="21"/>
        </w:rPr>
        <w:t>外，每年根据当期净利润实现情况，参照原始股份构成，分别对天津大学和创业者按照当期净利润的</w:t>
      </w:r>
      <w:r>
        <w:rPr>
          <w:rFonts w:ascii="宋体" w:hAnsi="宋体" w:eastAsia="宋体"/>
          <w:szCs w:val="21"/>
        </w:rPr>
        <w:t>5%进行利润分配</w:t>
      </w:r>
      <w:r>
        <w:rPr>
          <w:rFonts w:hint="eastAsia" w:ascii="宋体" w:hAnsi="宋体" w:eastAsia="宋体"/>
          <w:szCs w:val="21"/>
        </w:rPr>
        <w:t>。</w:t>
      </w:r>
    </w:p>
    <w:p>
      <w:pPr>
        <w:pStyle w:val="4"/>
        <w:rPr>
          <w:rFonts w:ascii="黑体" w:hAnsi="黑体" w:eastAsia="黑体"/>
          <w:b w:val="0"/>
          <w:bCs w:val="0"/>
          <w:sz w:val="24"/>
          <w:szCs w:val="18"/>
        </w:rPr>
      </w:pPr>
      <w:bookmarkStart w:id="38" w:name="_Toc132368950"/>
      <w:r>
        <w:rPr>
          <w:rFonts w:ascii="黑体" w:hAnsi="黑体" w:eastAsia="黑体"/>
          <w:b w:val="0"/>
          <w:bCs w:val="0"/>
          <w:sz w:val="24"/>
          <w:szCs w:val="18"/>
        </w:rPr>
        <w:t>5.1.2</w:t>
      </w:r>
      <w:r>
        <w:rPr>
          <w:rFonts w:hint="eastAsia" w:ascii="黑体" w:hAnsi="黑体" w:eastAsia="黑体"/>
          <w:b w:val="0"/>
          <w:bCs w:val="0"/>
          <w:sz w:val="24"/>
          <w:szCs w:val="18"/>
        </w:rPr>
        <w:t>运营成本和费用估计依据说明</w:t>
      </w:r>
      <w:bookmarkEnd w:id="38"/>
    </w:p>
    <w:p>
      <w:pPr>
        <w:spacing w:line="300" w:lineRule="auto"/>
        <w:rPr>
          <w:rFonts w:ascii="宋体" w:hAnsi="宋体" w:eastAsia="宋体"/>
          <w:szCs w:val="21"/>
        </w:rPr>
      </w:pPr>
      <w:r>
        <w:rPr>
          <w:rFonts w:hint="eastAsia" w:ascii="宋体" w:hAnsi="宋体" w:eastAsia="宋体"/>
          <w:szCs w:val="21"/>
        </w:rPr>
        <w:t>（1）财务运营：本公司拟采用一般贸易公司运营模式。为降低风险，计划与代工厂签订协议。代工厂进行原料采购与生产加工，本公司提供相关仪器图纸与技术支持，并对成品进行采购。成本费用主要来源于采购成本与运营费用。</w:t>
      </w:r>
    </w:p>
    <w:p>
      <w:pPr>
        <w:spacing w:line="300" w:lineRule="auto"/>
        <w:rPr>
          <w:rFonts w:ascii="宋体" w:hAnsi="宋体" w:eastAsia="宋体"/>
          <w:szCs w:val="21"/>
        </w:rPr>
      </w:pPr>
      <w:r>
        <w:rPr>
          <w:rFonts w:hint="eastAsia" w:ascii="宋体" w:hAnsi="宋体" w:eastAsia="宋体"/>
          <w:szCs w:val="21"/>
        </w:rPr>
        <w:t>（</w:t>
      </w:r>
      <w:r>
        <w:rPr>
          <w:rFonts w:ascii="宋体" w:hAnsi="宋体" w:eastAsia="宋体"/>
          <w:szCs w:val="21"/>
        </w:rPr>
        <w:t>2）</w:t>
      </w:r>
      <w:r>
        <w:rPr>
          <w:rFonts w:hint="eastAsia" w:ascii="宋体" w:hAnsi="宋体" w:eastAsia="宋体"/>
          <w:szCs w:val="21"/>
        </w:rPr>
        <w:t>成本核算：本公司采用固定成本法进行成本核算。公司与代工厂签订的协议规定，未来五年内产品的采购成本不变，因而产品价格变动产生的成本波动可忽略不计。由与代工厂签订协议的单位采购价、第一年计划投产产量以及预计未来四年销售增长率试算可得未来五年的直接采购成本。由与物流承包商签订的协议，根据未来四年销售增长率试算可得未来五年的外购物流成本。由未来四年的销售增长率以及公司规模扩展情况试算可得未来五年的销售成本。</w:t>
      </w:r>
    </w:p>
    <w:p>
      <w:pPr>
        <w:spacing w:line="300" w:lineRule="auto"/>
        <w:rPr>
          <w:rFonts w:ascii="宋体" w:hAnsi="宋体" w:eastAsia="宋体"/>
          <w:szCs w:val="21"/>
        </w:rPr>
      </w:pPr>
      <w:r>
        <w:rPr>
          <w:rFonts w:hint="eastAsia" w:ascii="宋体" w:hAnsi="宋体" w:eastAsia="宋体"/>
          <w:szCs w:val="21"/>
        </w:rPr>
        <w:t>（</w:t>
      </w:r>
      <w:r>
        <w:rPr>
          <w:rFonts w:ascii="宋体" w:hAnsi="宋体" w:eastAsia="宋体"/>
          <w:szCs w:val="21"/>
        </w:rPr>
        <w:t>3）员工薪酬</w:t>
      </w:r>
      <w:r>
        <w:rPr>
          <w:rFonts w:hint="eastAsia" w:ascii="宋体" w:hAnsi="宋体" w:eastAsia="宋体"/>
          <w:szCs w:val="21"/>
        </w:rPr>
        <w:t>：</w:t>
      </w:r>
      <w:r>
        <w:rPr>
          <w:rFonts w:ascii="宋体" w:hAnsi="宋体" w:eastAsia="宋体"/>
          <w:szCs w:val="21"/>
        </w:rPr>
        <w:t>参考</w:t>
      </w:r>
      <w:r>
        <w:rPr>
          <w:rFonts w:hint="eastAsia" w:ascii="宋体" w:hAnsi="宋体" w:eastAsia="宋体"/>
          <w:szCs w:val="21"/>
        </w:rPr>
        <w:t>天津</w:t>
      </w:r>
      <w:r>
        <w:rPr>
          <w:rFonts w:ascii="宋体" w:hAnsi="宋体" w:eastAsia="宋体"/>
          <w:szCs w:val="21"/>
        </w:rPr>
        <w:t>市最低工资标准，试行三档工资制，</w:t>
      </w:r>
      <w:r>
        <w:rPr>
          <w:rFonts w:hint="eastAsia" w:ascii="宋体" w:hAnsi="宋体" w:eastAsia="宋体"/>
          <w:szCs w:val="21"/>
        </w:rPr>
        <w:t>团队成员一致协商决定采用浮动工资制。公司成立初期第一年人均最低工资</w:t>
      </w:r>
      <w:r>
        <w:rPr>
          <w:rFonts w:ascii="宋体" w:hAnsi="宋体" w:eastAsia="宋体"/>
          <w:szCs w:val="21"/>
        </w:rPr>
        <w:t>3000 元，第二年人均工资 3800 元，第三年人均工资 4600 元，第四年至第五年</w:t>
      </w:r>
      <w:r>
        <w:rPr>
          <w:rFonts w:hint="eastAsia" w:ascii="宋体" w:hAnsi="宋体" w:eastAsia="宋体"/>
          <w:szCs w:val="21"/>
        </w:rPr>
        <w:t>人均工资</w:t>
      </w:r>
      <w:r>
        <w:rPr>
          <w:rFonts w:ascii="宋体" w:hAnsi="宋体" w:eastAsia="宋体"/>
          <w:szCs w:val="21"/>
        </w:rPr>
        <w:t xml:space="preserve"> 5400 元。并按上海市有关文件要求计提相关费用。</w:t>
      </w:r>
    </w:p>
    <w:p>
      <w:pPr>
        <w:spacing w:line="300" w:lineRule="auto"/>
        <w:rPr>
          <w:rFonts w:ascii="宋体" w:hAnsi="宋体" w:eastAsia="宋体"/>
          <w:szCs w:val="21"/>
        </w:rPr>
      </w:pPr>
      <w:r>
        <w:rPr>
          <w:rFonts w:hint="eastAsia" w:ascii="宋体" w:hAnsi="宋体" w:eastAsia="宋体"/>
          <w:szCs w:val="21"/>
        </w:rPr>
        <w:t>（</w:t>
      </w:r>
      <w:r>
        <w:rPr>
          <w:rFonts w:ascii="宋体" w:hAnsi="宋体" w:eastAsia="宋体"/>
          <w:szCs w:val="21"/>
        </w:rPr>
        <w:t>4）场地租赁</w:t>
      </w:r>
      <w:r>
        <w:rPr>
          <w:rFonts w:hint="eastAsia" w:ascii="宋体" w:hAnsi="宋体" w:eastAsia="宋体"/>
          <w:szCs w:val="21"/>
        </w:rPr>
        <w:t>：公司拟将与天津大学国家大学科技园达成协议，以1</w:t>
      </w:r>
      <w:r>
        <w:rPr>
          <w:rFonts w:ascii="宋体" w:hAnsi="宋体" w:eastAsia="宋体"/>
          <w:szCs w:val="21"/>
        </w:rPr>
        <w:t>7</w:t>
      </w:r>
      <w:r>
        <w:rPr>
          <w:rFonts w:hint="eastAsia" w:ascii="宋体" w:hAnsi="宋体" w:eastAsia="宋体"/>
          <w:szCs w:val="21"/>
        </w:rPr>
        <w:t>元/</w:t>
      </w:r>
      <w:r>
        <w:rPr>
          <w:rFonts w:ascii="宋体" w:hAnsi="宋体" w:eastAsia="宋体"/>
          <w:szCs w:val="21"/>
        </w:rPr>
        <w:t>m</w:t>
      </w:r>
      <w:r>
        <w:rPr>
          <w:rFonts w:ascii="宋体" w:hAnsi="宋体" w:eastAsia="宋体"/>
          <w:szCs w:val="21"/>
          <w:vertAlign w:val="superscript"/>
        </w:rPr>
        <w:t>2</w:t>
      </w:r>
      <w:r>
        <w:rPr>
          <w:rFonts w:hint="eastAsia" w:ascii="宋体" w:hAnsi="宋体" w:eastAsia="宋体"/>
          <w:szCs w:val="21"/>
        </w:rPr>
        <w:t>/月的价格租赁办公场地5</w:t>
      </w:r>
      <w:r>
        <w:rPr>
          <w:rFonts w:ascii="宋体" w:hAnsi="宋体" w:eastAsia="宋体"/>
          <w:szCs w:val="21"/>
        </w:rPr>
        <w:t>0</w:t>
      </w:r>
      <w:r>
        <w:rPr>
          <w:rFonts w:hint="eastAsia" w:ascii="宋体" w:hAnsi="宋体" w:eastAsia="宋体"/>
          <w:szCs w:val="21"/>
        </w:rPr>
        <w:t>平方米，连续承租5年。不另外对办公室进行装修，采购办公桌椅、电脑等作为公司固定资产，并以3年期计提折旧，不计办公设备残值。</w:t>
      </w:r>
    </w:p>
    <w:p>
      <w:pPr>
        <w:spacing w:line="300" w:lineRule="auto"/>
        <w:rPr>
          <w:rFonts w:ascii="宋体" w:hAnsi="宋体" w:eastAsia="宋体"/>
          <w:szCs w:val="21"/>
        </w:rPr>
      </w:pPr>
      <w:r>
        <w:rPr>
          <w:rFonts w:hint="eastAsia" w:ascii="宋体" w:hAnsi="宋体" w:eastAsia="宋体"/>
          <w:szCs w:val="21"/>
        </w:rPr>
        <w:t>（</w:t>
      </w:r>
      <w:r>
        <w:rPr>
          <w:rFonts w:ascii="宋体" w:hAnsi="宋体" w:eastAsia="宋体"/>
          <w:szCs w:val="21"/>
        </w:rPr>
        <w:t>5）</w:t>
      </w:r>
      <w:r>
        <w:rPr>
          <w:rFonts w:hint="eastAsia" w:ascii="宋体" w:hAnsi="宋体" w:eastAsia="宋体"/>
          <w:szCs w:val="21"/>
        </w:rPr>
        <w:t>作为科技创新型企业，公司</w:t>
      </w:r>
      <w:r>
        <w:rPr>
          <w:rFonts w:ascii="宋体" w:hAnsi="宋体" w:eastAsia="宋体"/>
          <w:szCs w:val="21"/>
        </w:rPr>
        <w:t>研发费</w:t>
      </w:r>
      <w:r>
        <w:rPr>
          <w:rFonts w:hint="eastAsia" w:ascii="宋体" w:hAnsi="宋体" w:eastAsia="宋体"/>
          <w:szCs w:val="21"/>
        </w:rPr>
        <w:t>拟</w:t>
      </w:r>
      <w:r>
        <w:rPr>
          <w:rFonts w:ascii="宋体" w:hAnsi="宋体" w:eastAsia="宋体"/>
          <w:szCs w:val="21"/>
        </w:rPr>
        <w:t>参考国内外同类型企业相关数据，</w:t>
      </w:r>
      <w:r>
        <w:rPr>
          <w:rFonts w:hint="eastAsia" w:ascii="宋体" w:hAnsi="宋体" w:eastAsia="宋体"/>
          <w:szCs w:val="21"/>
        </w:rPr>
        <w:t>按照预计当年投入总资本的总额的</w:t>
      </w:r>
      <w:r>
        <w:rPr>
          <w:rFonts w:ascii="宋体" w:hAnsi="宋体" w:eastAsia="宋体"/>
          <w:szCs w:val="21"/>
        </w:rPr>
        <w:t>5%计提。</w:t>
      </w:r>
    </w:p>
    <w:p>
      <w:pPr>
        <w:pStyle w:val="4"/>
        <w:rPr>
          <w:rFonts w:ascii="黑体" w:hAnsi="黑体" w:eastAsia="黑体"/>
          <w:b w:val="0"/>
          <w:bCs w:val="0"/>
          <w:sz w:val="24"/>
          <w:szCs w:val="24"/>
        </w:rPr>
      </w:pPr>
      <w:bookmarkStart w:id="39" w:name="_Toc132368951"/>
      <w:r>
        <w:rPr>
          <w:rFonts w:ascii="黑体" w:hAnsi="黑体" w:eastAsia="黑体"/>
          <w:b w:val="0"/>
          <w:bCs w:val="0"/>
          <w:sz w:val="24"/>
          <w:szCs w:val="24"/>
        </w:rPr>
        <w:t>5.1.3</w:t>
      </w:r>
      <w:r>
        <w:rPr>
          <w:rFonts w:hint="eastAsia" w:ascii="黑体" w:hAnsi="黑体" w:eastAsia="黑体"/>
          <w:b w:val="0"/>
          <w:bCs w:val="0"/>
          <w:sz w:val="24"/>
          <w:szCs w:val="24"/>
        </w:rPr>
        <w:t>总成本费用表</w:t>
      </w:r>
      <w:bookmarkEnd w:id="39"/>
    </w:p>
    <w:p>
      <w:pPr>
        <w:spacing w:line="300" w:lineRule="auto"/>
        <w:rPr>
          <w:rFonts w:ascii="宋体" w:hAnsi="宋体" w:eastAsia="宋体"/>
          <w:b/>
          <w:bCs/>
          <w:szCs w:val="21"/>
        </w:rPr>
      </w:pPr>
    </w:p>
    <w:p>
      <w:pPr>
        <w:pStyle w:val="5"/>
        <w:keepNext/>
        <w:ind w:firstLine="420"/>
        <w:rPr>
          <w:rFonts w:ascii="宋体" w:hAnsi="宋体" w:eastAsia="宋体"/>
          <w:sz w:val="21"/>
          <w:szCs w:val="21"/>
        </w:rPr>
      </w:pPr>
      <w:r>
        <w:rPr>
          <w:rFonts w:ascii="宋体" w:hAnsi="宋体" w:eastAsia="宋体"/>
          <w:sz w:val="21"/>
          <w:szCs w:val="21"/>
        </w:rPr>
        <w:t>表</w:t>
      </w:r>
      <w:r>
        <w:rPr>
          <w:rFonts w:hint="eastAsia" w:ascii="宋体" w:hAnsi="宋体" w:eastAsia="宋体"/>
          <w:sz w:val="21"/>
          <w:szCs w:val="21"/>
        </w:rPr>
        <w:t>8</w:t>
      </w:r>
      <w:r>
        <w:rPr>
          <w:rFonts w:ascii="宋体" w:hAnsi="宋体" w:eastAsia="宋体"/>
          <w:sz w:val="21"/>
          <w:szCs w:val="21"/>
        </w:rPr>
        <w:t xml:space="preserve">-1 </w:t>
      </w:r>
      <w:r>
        <w:rPr>
          <w:rFonts w:hint="eastAsia" w:ascii="宋体" w:hAnsi="宋体" w:eastAsia="宋体"/>
          <w:sz w:val="21"/>
          <w:szCs w:val="21"/>
        </w:rPr>
        <w:t>总成本费用表（单位：万元）</w:t>
      </w:r>
    </w:p>
    <w:tbl>
      <w:tblPr>
        <w:tblStyle w:val="15"/>
        <w:tblW w:w="82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701"/>
        <w:gridCol w:w="1134"/>
        <w:gridCol w:w="1134"/>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shd w:val="clear" w:color="auto" w:fill="A5A5A5" w:themeFill="accent3"/>
          </w:tcPr>
          <w:p>
            <w:pPr>
              <w:spacing w:line="300" w:lineRule="auto"/>
              <w:jc w:val="center"/>
              <w:rPr>
                <w:rFonts w:ascii="宋体" w:hAnsi="宋体" w:eastAsia="宋体"/>
                <w:sz w:val="18"/>
                <w:szCs w:val="18"/>
              </w:rPr>
            </w:pPr>
            <w:bookmarkStart w:id="40" w:name="_Hlk132272504"/>
            <w:r>
              <w:rPr>
                <w:rFonts w:hint="eastAsia" w:ascii="宋体" w:hAnsi="宋体" w:eastAsia="宋体"/>
                <w:sz w:val="18"/>
                <w:szCs w:val="18"/>
              </w:rPr>
              <w:t>序号</w:t>
            </w:r>
          </w:p>
        </w:tc>
        <w:tc>
          <w:tcPr>
            <w:tcW w:w="1701"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项目</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1</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2</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3</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4</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tcPr>
          <w:p>
            <w:pPr>
              <w:spacing w:line="300" w:lineRule="auto"/>
              <w:jc w:val="center"/>
              <w:rPr>
                <w:rFonts w:ascii="宋体" w:hAnsi="宋体" w:eastAsia="宋体"/>
                <w:sz w:val="18"/>
                <w:szCs w:val="18"/>
              </w:rPr>
            </w:pPr>
            <w:r>
              <w:rPr>
                <w:rFonts w:hint="eastAsia" w:ascii="宋体" w:hAnsi="宋体" w:eastAsia="宋体"/>
                <w:sz w:val="18"/>
                <w:szCs w:val="18"/>
              </w:rPr>
              <w:t>3</w:t>
            </w:r>
          </w:p>
        </w:tc>
        <w:tc>
          <w:tcPr>
            <w:tcW w:w="1701" w:type="dxa"/>
          </w:tcPr>
          <w:p>
            <w:pPr>
              <w:spacing w:line="300" w:lineRule="auto"/>
              <w:jc w:val="left"/>
              <w:rPr>
                <w:rFonts w:ascii="宋体" w:hAnsi="宋体" w:eastAsia="宋体"/>
                <w:sz w:val="18"/>
                <w:szCs w:val="18"/>
              </w:rPr>
            </w:pPr>
            <w:r>
              <w:rPr>
                <w:rFonts w:hint="eastAsia" w:ascii="宋体" w:hAnsi="宋体" w:eastAsia="宋体"/>
                <w:sz w:val="18"/>
                <w:szCs w:val="18"/>
              </w:rPr>
              <w:t>低值易耗品</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.20</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.20</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.20</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.20</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tcPr>
          <w:p>
            <w:pPr>
              <w:spacing w:line="300" w:lineRule="auto"/>
              <w:jc w:val="center"/>
              <w:rPr>
                <w:rFonts w:ascii="宋体" w:hAnsi="宋体" w:eastAsia="宋体"/>
                <w:sz w:val="18"/>
                <w:szCs w:val="18"/>
              </w:rPr>
            </w:pPr>
            <w:r>
              <w:rPr>
                <w:rFonts w:hint="eastAsia" w:ascii="宋体" w:hAnsi="宋体" w:eastAsia="宋体"/>
                <w:sz w:val="18"/>
                <w:szCs w:val="18"/>
              </w:rPr>
              <w:t>4</w:t>
            </w:r>
          </w:p>
        </w:tc>
        <w:tc>
          <w:tcPr>
            <w:tcW w:w="1701" w:type="dxa"/>
          </w:tcPr>
          <w:p>
            <w:pPr>
              <w:spacing w:line="300" w:lineRule="auto"/>
              <w:jc w:val="left"/>
              <w:rPr>
                <w:rFonts w:ascii="宋体" w:hAnsi="宋体" w:eastAsia="宋体"/>
                <w:sz w:val="18"/>
                <w:szCs w:val="18"/>
              </w:rPr>
            </w:pPr>
            <w:r>
              <w:rPr>
                <w:rFonts w:hint="eastAsia" w:ascii="宋体" w:hAnsi="宋体" w:eastAsia="宋体"/>
                <w:sz w:val="18"/>
                <w:szCs w:val="18"/>
              </w:rPr>
              <w:t>办公费</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.70</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.70</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.70</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.70</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tcPr>
          <w:p>
            <w:pPr>
              <w:spacing w:line="300" w:lineRule="auto"/>
              <w:jc w:val="center"/>
              <w:rPr>
                <w:rFonts w:ascii="宋体" w:hAnsi="宋体" w:eastAsia="宋体"/>
                <w:sz w:val="18"/>
                <w:szCs w:val="18"/>
              </w:rPr>
            </w:pPr>
            <w:r>
              <w:rPr>
                <w:rFonts w:hint="eastAsia" w:ascii="宋体" w:hAnsi="宋体" w:eastAsia="宋体"/>
                <w:sz w:val="18"/>
                <w:szCs w:val="18"/>
              </w:rPr>
              <w:t>7</w:t>
            </w:r>
          </w:p>
        </w:tc>
        <w:tc>
          <w:tcPr>
            <w:tcW w:w="1701" w:type="dxa"/>
          </w:tcPr>
          <w:p>
            <w:pPr>
              <w:spacing w:line="300" w:lineRule="auto"/>
              <w:jc w:val="left"/>
              <w:rPr>
                <w:rFonts w:ascii="宋体" w:hAnsi="宋体" w:eastAsia="宋体"/>
                <w:sz w:val="18"/>
                <w:szCs w:val="18"/>
              </w:rPr>
            </w:pPr>
            <w:r>
              <w:rPr>
                <w:rFonts w:hint="eastAsia" w:ascii="宋体" w:hAnsi="宋体" w:eastAsia="宋体"/>
                <w:sz w:val="18"/>
                <w:szCs w:val="18"/>
              </w:rPr>
              <w:t>办公场所租赁费</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.02</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.02</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.02</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.02</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tcPr>
          <w:p>
            <w:pPr>
              <w:spacing w:line="300" w:lineRule="auto"/>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6</w:t>
            </w:r>
          </w:p>
        </w:tc>
        <w:tc>
          <w:tcPr>
            <w:tcW w:w="1701" w:type="dxa"/>
          </w:tcPr>
          <w:p>
            <w:pPr>
              <w:spacing w:line="300" w:lineRule="auto"/>
              <w:jc w:val="left"/>
              <w:rPr>
                <w:rFonts w:ascii="宋体" w:hAnsi="宋体" w:eastAsia="宋体"/>
                <w:sz w:val="18"/>
                <w:szCs w:val="18"/>
              </w:rPr>
            </w:pPr>
            <w:r>
              <w:rPr>
                <w:rFonts w:hint="eastAsia" w:ascii="宋体" w:hAnsi="宋体" w:eastAsia="宋体"/>
                <w:sz w:val="18"/>
                <w:szCs w:val="18"/>
              </w:rPr>
              <w:t>固定资产折旧费</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.00</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.00</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.00</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.00</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tcPr>
          <w:p>
            <w:pPr>
              <w:spacing w:line="300" w:lineRule="auto"/>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7</w:t>
            </w:r>
          </w:p>
        </w:tc>
        <w:tc>
          <w:tcPr>
            <w:tcW w:w="1701" w:type="dxa"/>
          </w:tcPr>
          <w:p>
            <w:pPr>
              <w:spacing w:line="300" w:lineRule="auto"/>
              <w:jc w:val="left"/>
              <w:rPr>
                <w:rFonts w:ascii="宋体" w:hAnsi="宋体" w:eastAsia="宋体"/>
                <w:sz w:val="18"/>
                <w:szCs w:val="18"/>
              </w:rPr>
            </w:pPr>
            <w:r>
              <w:rPr>
                <w:rFonts w:hint="eastAsia" w:ascii="宋体" w:hAnsi="宋体" w:eastAsia="宋体"/>
                <w:sz w:val="18"/>
                <w:szCs w:val="18"/>
              </w:rPr>
              <w:t>研发费</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5</w:t>
            </w:r>
            <w:r>
              <w:rPr>
                <w:rFonts w:ascii="宋体" w:hAnsi="宋体" w:eastAsia="宋体"/>
                <w:sz w:val="18"/>
                <w:szCs w:val="18"/>
              </w:rPr>
              <w:t>.00</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7</w:t>
            </w:r>
            <w:r>
              <w:rPr>
                <w:rFonts w:ascii="宋体" w:hAnsi="宋体" w:eastAsia="宋体"/>
                <w:sz w:val="18"/>
                <w:szCs w:val="18"/>
              </w:rPr>
              <w:t>.34</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2.54</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8.67</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tcPr>
          <w:p>
            <w:pPr>
              <w:spacing w:line="300" w:lineRule="auto"/>
              <w:jc w:val="center"/>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3</w:t>
            </w:r>
          </w:p>
        </w:tc>
        <w:tc>
          <w:tcPr>
            <w:tcW w:w="1701" w:type="dxa"/>
          </w:tcPr>
          <w:p>
            <w:pPr>
              <w:spacing w:line="300" w:lineRule="auto"/>
              <w:jc w:val="left"/>
              <w:rPr>
                <w:rFonts w:ascii="宋体" w:hAnsi="宋体" w:eastAsia="宋体"/>
                <w:sz w:val="18"/>
                <w:szCs w:val="18"/>
              </w:rPr>
            </w:pPr>
            <w:r>
              <w:rPr>
                <w:rFonts w:hint="eastAsia" w:ascii="宋体" w:hAnsi="宋体" w:eastAsia="宋体"/>
                <w:sz w:val="18"/>
                <w:szCs w:val="18"/>
              </w:rPr>
              <w:t>其他费用</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.60</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.60</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.60</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.60</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3</w:t>
            </w:r>
          </w:p>
        </w:tc>
        <w:tc>
          <w:tcPr>
            <w:tcW w:w="1701"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管理费用小计</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8</w:t>
            </w:r>
            <w:r>
              <w:rPr>
                <w:rFonts w:ascii="宋体" w:hAnsi="宋体" w:eastAsia="宋体"/>
                <w:sz w:val="18"/>
                <w:szCs w:val="18"/>
              </w:rPr>
              <w:t>.52</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0.86</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6.06</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1.39</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tcPr>
          <w:p>
            <w:pPr>
              <w:spacing w:line="300" w:lineRule="auto"/>
              <w:jc w:val="center"/>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4</w:t>
            </w:r>
          </w:p>
        </w:tc>
        <w:tc>
          <w:tcPr>
            <w:tcW w:w="1701" w:type="dxa"/>
          </w:tcPr>
          <w:p>
            <w:pPr>
              <w:spacing w:line="300" w:lineRule="auto"/>
              <w:jc w:val="left"/>
              <w:rPr>
                <w:rFonts w:ascii="宋体" w:hAnsi="宋体" w:eastAsia="宋体"/>
                <w:sz w:val="18"/>
                <w:szCs w:val="18"/>
              </w:rPr>
            </w:pPr>
            <w:r>
              <w:rPr>
                <w:rFonts w:hint="eastAsia" w:ascii="宋体" w:hAnsi="宋体" w:eastAsia="宋体"/>
                <w:sz w:val="18"/>
                <w:szCs w:val="18"/>
              </w:rPr>
              <w:t>人工成本</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7.25</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1.85</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6.45</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1.05</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tcPr>
          <w:p>
            <w:pPr>
              <w:spacing w:line="300" w:lineRule="auto"/>
              <w:jc w:val="center"/>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5</w:t>
            </w:r>
          </w:p>
        </w:tc>
        <w:tc>
          <w:tcPr>
            <w:tcW w:w="1701" w:type="dxa"/>
          </w:tcPr>
          <w:p>
            <w:pPr>
              <w:spacing w:line="300" w:lineRule="auto"/>
              <w:jc w:val="left"/>
              <w:rPr>
                <w:rFonts w:ascii="宋体" w:hAnsi="宋体" w:eastAsia="宋体"/>
                <w:sz w:val="18"/>
                <w:szCs w:val="18"/>
              </w:rPr>
            </w:pPr>
            <w:r>
              <w:rPr>
                <w:rFonts w:hint="eastAsia" w:ascii="宋体" w:hAnsi="宋体" w:eastAsia="宋体"/>
                <w:sz w:val="18"/>
                <w:szCs w:val="18"/>
              </w:rPr>
              <w:t>福利费</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.42</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.06</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.70</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.35</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tcPr>
          <w:p>
            <w:pPr>
              <w:spacing w:line="300" w:lineRule="auto"/>
              <w:jc w:val="center"/>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6</w:t>
            </w:r>
          </w:p>
        </w:tc>
        <w:tc>
          <w:tcPr>
            <w:tcW w:w="1701" w:type="dxa"/>
          </w:tcPr>
          <w:p>
            <w:pPr>
              <w:spacing w:line="300" w:lineRule="auto"/>
              <w:jc w:val="left"/>
              <w:rPr>
                <w:rFonts w:ascii="宋体" w:hAnsi="宋体" w:eastAsia="宋体"/>
                <w:sz w:val="18"/>
                <w:szCs w:val="18"/>
              </w:rPr>
            </w:pPr>
            <w:r>
              <w:rPr>
                <w:rFonts w:hint="eastAsia" w:ascii="宋体" w:hAnsi="宋体" w:eastAsia="宋体"/>
                <w:sz w:val="18"/>
                <w:szCs w:val="18"/>
              </w:rPr>
              <w:t>工会经费</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.05</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.07</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.09</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.10</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tcPr>
          <w:p>
            <w:pPr>
              <w:spacing w:line="300" w:lineRule="auto"/>
              <w:jc w:val="center"/>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7</w:t>
            </w:r>
          </w:p>
        </w:tc>
        <w:tc>
          <w:tcPr>
            <w:tcW w:w="1701" w:type="dxa"/>
          </w:tcPr>
          <w:p>
            <w:pPr>
              <w:spacing w:line="300" w:lineRule="auto"/>
              <w:jc w:val="left"/>
              <w:rPr>
                <w:rFonts w:ascii="宋体" w:hAnsi="宋体" w:eastAsia="宋体"/>
                <w:sz w:val="18"/>
                <w:szCs w:val="18"/>
              </w:rPr>
            </w:pPr>
            <w:r>
              <w:rPr>
                <w:rFonts w:hint="eastAsia" w:ascii="宋体" w:hAnsi="宋体" w:eastAsia="宋体"/>
                <w:sz w:val="18"/>
                <w:szCs w:val="18"/>
              </w:rPr>
              <w:t>职工教育经费</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.86</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.09</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.13</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.55</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tcPr>
          <w:p>
            <w:pPr>
              <w:spacing w:line="300" w:lineRule="auto"/>
              <w:jc w:val="center"/>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8</w:t>
            </w:r>
          </w:p>
        </w:tc>
        <w:tc>
          <w:tcPr>
            <w:tcW w:w="1701" w:type="dxa"/>
          </w:tcPr>
          <w:p>
            <w:pPr>
              <w:spacing w:line="300" w:lineRule="auto"/>
              <w:jc w:val="left"/>
              <w:rPr>
                <w:rFonts w:ascii="宋体" w:hAnsi="宋体" w:eastAsia="宋体"/>
                <w:sz w:val="18"/>
                <w:szCs w:val="18"/>
              </w:rPr>
            </w:pPr>
            <w:r>
              <w:rPr>
                <w:rFonts w:hint="eastAsia" w:ascii="宋体" w:hAnsi="宋体" w:eastAsia="宋体"/>
                <w:sz w:val="18"/>
                <w:szCs w:val="18"/>
              </w:rPr>
              <w:t>基本养老保险</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.80</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.81</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5</w:t>
            </w:r>
            <w:r>
              <w:rPr>
                <w:rFonts w:ascii="宋体" w:hAnsi="宋体" w:eastAsia="宋体"/>
                <w:sz w:val="18"/>
                <w:szCs w:val="18"/>
              </w:rPr>
              <w:t>.82</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6</w:t>
            </w:r>
            <w:r>
              <w:rPr>
                <w:rFonts w:ascii="宋体" w:hAnsi="宋体" w:eastAsia="宋体"/>
                <w:sz w:val="18"/>
                <w:szCs w:val="18"/>
              </w:rPr>
              <w:t>.83</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6</w:t>
            </w:r>
            <w:r>
              <w:rPr>
                <w:rFonts w:ascii="宋体" w:hAnsi="宋体" w:eastAsia="宋体"/>
                <w:sz w:val="18"/>
                <w:szCs w:val="18"/>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tcPr>
          <w:p>
            <w:pPr>
              <w:spacing w:line="300" w:lineRule="auto"/>
              <w:jc w:val="center"/>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9</w:t>
            </w:r>
          </w:p>
        </w:tc>
        <w:tc>
          <w:tcPr>
            <w:tcW w:w="1701" w:type="dxa"/>
          </w:tcPr>
          <w:p>
            <w:pPr>
              <w:spacing w:line="300" w:lineRule="auto"/>
              <w:jc w:val="left"/>
              <w:rPr>
                <w:rFonts w:ascii="宋体" w:hAnsi="宋体" w:eastAsia="宋体"/>
                <w:sz w:val="18"/>
                <w:szCs w:val="18"/>
              </w:rPr>
            </w:pPr>
            <w:r>
              <w:rPr>
                <w:rFonts w:hint="eastAsia" w:ascii="宋体" w:hAnsi="宋体" w:eastAsia="宋体"/>
                <w:sz w:val="18"/>
                <w:szCs w:val="18"/>
              </w:rPr>
              <w:t>失业保险</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.12</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.37</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.45</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.53</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tcPr>
          <w:p>
            <w:pPr>
              <w:spacing w:line="300" w:lineRule="auto"/>
              <w:jc w:val="center"/>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0</w:t>
            </w:r>
          </w:p>
        </w:tc>
        <w:tc>
          <w:tcPr>
            <w:tcW w:w="1701" w:type="dxa"/>
          </w:tcPr>
          <w:p>
            <w:pPr>
              <w:spacing w:line="300" w:lineRule="auto"/>
              <w:jc w:val="left"/>
              <w:rPr>
                <w:rFonts w:ascii="宋体" w:hAnsi="宋体" w:eastAsia="宋体"/>
                <w:sz w:val="18"/>
                <w:szCs w:val="18"/>
              </w:rPr>
            </w:pPr>
            <w:r>
              <w:rPr>
                <w:rFonts w:hint="eastAsia" w:ascii="宋体" w:hAnsi="宋体" w:eastAsia="宋体"/>
                <w:sz w:val="18"/>
                <w:szCs w:val="18"/>
              </w:rPr>
              <w:t>工伤保险</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.86</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.09</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.32</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.55</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tcPr>
          <w:p>
            <w:pPr>
              <w:spacing w:line="300" w:lineRule="auto"/>
              <w:jc w:val="center"/>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1</w:t>
            </w:r>
          </w:p>
        </w:tc>
        <w:tc>
          <w:tcPr>
            <w:tcW w:w="1701" w:type="dxa"/>
          </w:tcPr>
          <w:p>
            <w:pPr>
              <w:spacing w:line="300" w:lineRule="auto"/>
              <w:jc w:val="left"/>
              <w:rPr>
                <w:rFonts w:ascii="宋体" w:hAnsi="宋体" w:eastAsia="宋体"/>
                <w:sz w:val="18"/>
                <w:szCs w:val="18"/>
              </w:rPr>
            </w:pPr>
            <w:r>
              <w:rPr>
                <w:rFonts w:hint="eastAsia" w:ascii="宋体" w:hAnsi="宋体" w:eastAsia="宋体"/>
                <w:sz w:val="18"/>
                <w:szCs w:val="18"/>
              </w:rPr>
              <w:t>基本医疗保险</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.07</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.62</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.17</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.73</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tcPr>
          <w:p>
            <w:pPr>
              <w:spacing w:line="300" w:lineRule="auto"/>
              <w:jc w:val="center"/>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3</w:t>
            </w:r>
          </w:p>
        </w:tc>
        <w:tc>
          <w:tcPr>
            <w:tcW w:w="1701" w:type="dxa"/>
          </w:tcPr>
          <w:p>
            <w:pPr>
              <w:spacing w:line="300" w:lineRule="auto"/>
              <w:jc w:val="left"/>
              <w:rPr>
                <w:rFonts w:ascii="宋体" w:hAnsi="宋体" w:eastAsia="宋体"/>
                <w:sz w:val="18"/>
                <w:szCs w:val="18"/>
              </w:rPr>
            </w:pPr>
            <w:r>
              <w:rPr>
                <w:rFonts w:hint="eastAsia" w:ascii="宋体" w:hAnsi="宋体" w:eastAsia="宋体"/>
                <w:sz w:val="18"/>
                <w:szCs w:val="18"/>
              </w:rPr>
              <w:t>年金</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.00</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.00</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.00</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.00</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6</w:t>
            </w:r>
          </w:p>
        </w:tc>
        <w:tc>
          <w:tcPr>
            <w:tcW w:w="1701"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人工成本小计</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7.43</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8.30</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1.13</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9.69</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7</w:t>
            </w:r>
          </w:p>
        </w:tc>
        <w:tc>
          <w:tcPr>
            <w:tcW w:w="1701"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成本费用小计</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5.95</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9.16</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5</w:t>
            </w:r>
            <w:r>
              <w:rPr>
                <w:rFonts w:ascii="宋体" w:hAnsi="宋体" w:eastAsia="宋体"/>
                <w:sz w:val="18"/>
                <w:szCs w:val="18"/>
              </w:rPr>
              <w:t>7.19</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7</w:t>
            </w:r>
            <w:r>
              <w:rPr>
                <w:rFonts w:ascii="宋体" w:hAnsi="宋体" w:eastAsia="宋体"/>
                <w:sz w:val="18"/>
                <w:szCs w:val="18"/>
              </w:rPr>
              <w:t>1.08</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8</w:t>
            </w:r>
            <w:r>
              <w:rPr>
                <w:rFonts w:ascii="宋体" w:hAnsi="宋体" w:eastAsia="宋体"/>
                <w:sz w:val="18"/>
                <w:szCs w:val="18"/>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tcPr>
          <w:p>
            <w:pPr>
              <w:spacing w:line="300" w:lineRule="auto"/>
              <w:jc w:val="center"/>
              <w:rPr>
                <w:rFonts w:ascii="宋体" w:hAnsi="宋体" w:eastAsia="宋体"/>
                <w:sz w:val="18"/>
                <w:szCs w:val="18"/>
              </w:rPr>
            </w:pPr>
            <w:r>
              <w:rPr>
                <w:rFonts w:hint="eastAsia" w:ascii="宋体" w:hAnsi="宋体" w:eastAsia="宋体"/>
                <w:sz w:val="18"/>
                <w:szCs w:val="18"/>
              </w:rPr>
              <w:t>5</w:t>
            </w:r>
            <w:r>
              <w:rPr>
                <w:rFonts w:ascii="宋体" w:hAnsi="宋体" w:eastAsia="宋体"/>
                <w:sz w:val="18"/>
                <w:szCs w:val="18"/>
              </w:rPr>
              <w:t>3</w:t>
            </w:r>
          </w:p>
        </w:tc>
        <w:tc>
          <w:tcPr>
            <w:tcW w:w="1701" w:type="dxa"/>
          </w:tcPr>
          <w:p>
            <w:pPr>
              <w:spacing w:line="300" w:lineRule="auto"/>
              <w:jc w:val="left"/>
              <w:rPr>
                <w:rFonts w:ascii="宋体" w:hAnsi="宋体" w:eastAsia="宋体"/>
                <w:sz w:val="18"/>
                <w:szCs w:val="18"/>
              </w:rPr>
            </w:pPr>
            <w:r>
              <w:rPr>
                <w:rFonts w:hint="eastAsia" w:ascii="宋体" w:hAnsi="宋体" w:eastAsia="宋体"/>
                <w:sz w:val="18"/>
                <w:szCs w:val="18"/>
              </w:rPr>
              <w:t>直接采购成本</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5</w:t>
            </w:r>
            <w:r>
              <w:rPr>
                <w:rFonts w:ascii="宋体" w:hAnsi="宋体" w:eastAsia="宋体"/>
                <w:sz w:val="18"/>
                <w:szCs w:val="18"/>
              </w:rPr>
              <w:t>1.50</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7</w:t>
            </w:r>
            <w:r>
              <w:rPr>
                <w:rFonts w:ascii="宋体" w:hAnsi="宋体" w:eastAsia="宋体"/>
                <w:sz w:val="18"/>
                <w:szCs w:val="18"/>
              </w:rPr>
              <w:t>8.25</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48.50</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42.75</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11.87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tcPr>
          <w:p>
            <w:pPr>
              <w:spacing w:line="300" w:lineRule="auto"/>
              <w:jc w:val="center"/>
              <w:rPr>
                <w:rFonts w:ascii="宋体" w:hAnsi="宋体" w:eastAsia="宋体"/>
                <w:sz w:val="18"/>
                <w:szCs w:val="18"/>
              </w:rPr>
            </w:pPr>
            <w:r>
              <w:rPr>
                <w:rFonts w:hint="eastAsia" w:ascii="宋体" w:hAnsi="宋体" w:eastAsia="宋体"/>
                <w:sz w:val="18"/>
                <w:szCs w:val="18"/>
              </w:rPr>
              <w:t>5</w:t>
            </w:r>
            <w:r>
              <w:rPr>
                <w:rFonts w:ascii="宋体" w:hAnsi="宋体" w:eastAsia="宋体"/>
                <w:sz w:val="18"/>
                <w:szCs w:val="18"/>
              </w:rPr>
              <w:t>5</w:t>
            </w:r>
          </w:p>
        </w:tc>
        <w:tc>
          <w:tcPr>
            <w:tcW w:w="1701" w:type="dxa"/>
          </w:tcPr>
          <w:p>
            <w:pPr>
              <w:spacing w:line="300" w:lineRule="auto"/>
              <w:jc w:val="left"/>
              <w:rPr>
                <w:rFonts w:ascii="宋体" w:hAnsi="宋体" w:eastAsia="宋体"/>
                <w:sz w:val="18"/>
                <w:szCs w:val="18"/>
              </w:rPr>
            </w:pPr>
            <w:r>
              <w:rPr>
                <w:rFonts w:hint="eastAsia" w:ascii="宋体" w:hAnsi="宋体" w:eastAsia="宋体"/>
                <w:sz w:val="18"/>
                <w:szCs w:val="18"/>
              </w:rPr>
              <w:t>销售成本</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5</w:t>
            </w:r>
            <w:r>
              <w:rPr>
                <w:rFonts w:ascii="宋体" w:hAnsi="宋体" w:eastAsia="宋体"/>
                <w:sz w:val="18"/>
                <w:szCs w:val="18"/>
              </w:rPr>
              <w:t>.30</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8</w:t>
            </w:r>
            <w:r>
              <w:rPr>
                <w:rFonts w:ascii="宋体" w:hAnsi="宋体" w:eastAsia="宋体"/>
                <w:sz w:val="18"/>
                <w:szCs w:val="18"/>
              </w:rPr>
              <w:t>.82</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6.77</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4.89</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tcPr>
          <w:p>
            <w:pPr>
              <w:spacing w:line="300" w:lineRule="auto"/>
              <w:jc w:val="center"/>
              <w:rPr>
                <w:rFonts w:ascii="宋体" w:hAnsi="宋体" w:eastAsia="宋体"/>
                <w:sz w:val="18"/>
                <w:szCs w:val="18"/>
              </w:rPr>
            </w:pPr>
            <w:r>
              <w:rPr>
                <w:rFonts w:hint="eastAsia" w:ascii="宋体" w:hAnsi="宋体" w:eastAsia="宋体"/>
                <w:sz w:val="18"/>
                <w:szCs w:val="18"/>
              </w:rPr>
              <w:t>5</w:t>
            </w:r>
            <w:r>
              <w:rPr>
                <w:rFonts w:ascii="宋体" w:hAnsi="宋体" w:eastAsia="宋体"/>
                <w:sz w:val="18"/>
                <w:szCs w:val="18"/>
              </w:rPr>
              <w:t>4</w:t>
            </w:r>
          </w:p>
        </w:tc>
        <w:tc>
          <w:tcPr>
            <w:tcW w:w="1701" w:type="dxa"/>
          </w:tcPr>
          <w:p>
            <w:pPr>
              <w:spacing w:line="300" w:lineRule="auto"/>
              <w:jc w:val="left"/>
              <w:rPr>
                <w:rFonts w:ascii="宋体" w:hAnsi="宋体" w:eastAsia="宋体"/>
                <w:sz w:val="18"/>
                <w:szCs w:val="18"/>
              </w:rPr>
            </w:pPr>
            <w:r>
              <w:rPr>
                <w:rFonts w:hint="eastAsia" w:ascii="宋体" w:hAnsi="宋体" w:eastAsia="宋体"/>
                <w:sz w:val="18"/>
                <w:szCs w:val="18"/>
              </w:rPr>
              <w:t>外购物流成本</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.20</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.33</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.68</w:t>
            </w:r>
          </w:p>
        </w:tc>
        <w:tc>
          <w:tcPr>
            <w:tcW w:w="1134" w:type="dxa"/>
          </w:tcPr>
          <w:p>
            <w:pPr>
              <w:spacing w:line="300" w:lineRule="auto"/>
              <w:jc w:val="center"/>
              <w:rPr>
                <w:rFonts w:ascii="宋体" w:hAnsi="宋体" w:eastAsia="宋体"/>
                <w:sz w:val="18"/>
                <w:szCs w:val="18"/>
              </w:rPr>
            </w:pPr>
            <w:r>
              <w:rPr>
                <w:rFonts w:ascii="宋体" w:hAnsi="宋体" w:eastAsia="宋体"/>
                <w:sz w:val="18"/>
                <w:szCs w:val="18"/>
              </w:rPr>
              <w:t>1.26</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5</w:t>
            </w:r>
            <w:r>
              <w:rPr>
                <w:rFonts w:ascii="宋体" w:hAnsi="宋体" w:eastAsia="宋体"/>
                <w:sz w:val="18"/>
                <w:szCs w:val="18"/>
              </w:rPr>
              <w:t>6</w:t>
            </w:r>
          </w:p>
        </w:tc>
        <w:tc>
          <w:tcPr>
            <w:tcW w:w="1701"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采购成本小计</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5</w:t>
            </w:r>
            <w:r>
              <w:rPr>
                <w:rFonts w:ascii="宋体" w:hAnsi="宋体" w:eastAsia="宋体"/>
                <w:sz w:val="18"/>
                <w:szCs w:val="18"/>
              </w:rPr>
              <w:t>7.00</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8</w:t>
            </w:r>
            <w:r>
              <w:rPr>
                <w:rFonts w:ascii="宋体" w:hAnsi="宋体" w:eastAsia="宋体"/>
                <w:sz w:val="18"/>
                <w:szCs w:val="18"/>
              </w:rPr>
              <w:t>7.40</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65.95</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68.90</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56.20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5</w:t>
            </w:r>
            <w:r>
              <w:rPr>
                <w:rFonts w:ascii="宋体" w:hAnsi="宋体" w:eastAsia="宋体"/>
                <w:sz w:val="18"/>
                <w:szCs w:val="18"/>
              </w:rPr>
              <w:t>7</w:t>
            </w:r>
          </w:p>
        </w:tc>
        <w:tc>
          <w:tcPr>
            <w:tcW w:w="1701"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成本费用合计</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9</w:t>
            </w:r>
            <w:r>
              <w:rPr>
                <w:rFonts w:ascii="宋体" w:hAnsi="宋体" w:eastAsia="宋体"/>
                <w:sz w:val="18"/>
                <w:szCs w:val="18"/>
              </w:rPr>
              <w:t>2.95</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36.56</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23.14</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39.98</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5</w:t>
            </w:r>
            <w:r>
              <w:rPr>
                <w:rFonts w:ascii="宋体" w:hAnsi="宋体" w:eastAsia="宋体"/>
                <w:sz w:val="18"/>
                <w:szCs w:val="18"/>
              </w:rPr>
              <w:t>37.63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tcPr>
          <w:p>
            <w:pPr>
              <w:spacing w:line="300" w:lineRule="auto"/>
              <w:jc w:val="center"/>
              <w:rPr>
                <w:rFonts w:ascii="宋体" w:hAnsi="宋体" w:eastAsia="宋体"/>
                <w:sz w:val="18"/>
                <w:szCs w:val="18"/>
              </w:rPr>
            </w:pPr>
          </w:p>
        </w:tc>
        <w:tc>
          <w:tcPr>
            <w:tcW w:w="1701" w:type="dxa"/>
          </w:tcPr>
          <w:p>
            <w:pPr>
              <w:spacing w:line="300" w:lineRule="auto"/>
              <w:jc w:val="left"/>
              <w:rPr>
                <w:rFonts w:ascii="宋体" w:hAnsi="宋体" w:eastAsia="宋体"/>
                <w:sz w:val="18"/>
                <w:szCs w:val="18"/>
              </w:rPr>
            </w:pPr>
            <w:r>
              <w:rPr>
                <w:rFonts w:hint="eastAsia" w:ascii="宋体" w:hAnsi="宋体" w:eastAsia="宋体"/>
                <w:sz w:val="18"/>
                <w:szCs w:val="18"/>
              </w:rPr>
              <w:t>资产占用情况</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9</w:t>
            </w:r>
            <w:r>
              <w:rPr>
                <w:rFonts w:ascii="宋体" w:hAnsi="宋体" w:eastAsia="宋体"/>
                <w:sz w:val="18"/>
                <w:szCs w:val="18"/>
              </w:rPr>
              <w:t>2.95%</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9</w:t>
            </w:r>
            <w:r>
              <w:rPr>
                <w:rFonts w:ascii="宋体" w:hAnsi="宋体" w:eastAsia="宋体"/>
                <w:sz w:val="18"/>
                <w:szCs w:val="18"/>
              </w:rPr>
              <w:t>3.00%</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8</w:t>
            </w:r>
            <w:r>
              <w:rPr>
                <w:rFonts w:ascii="宋体" w:hAnsi="宋体" w:eastAsia="宋体"/>
                <w:sz w:val="18"/>
                <w:szCs w:val="18"/>
              </w:rPr>
              <w:t>9.00%</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9</w:t>
            </w:r>
            <w:r>
              <w:rPr>
                <w:rFonts w:ascii="宋体" w:hAnsi="宋体" w:eastAsia="宋体"/>
                <w:sz w:val="18"/>
                <w:szCs w:val="18"/>
              </w:rPr>
              <w:t>1.00%</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9</w:t>
            </w:r>
            <w:r>
              <w:rPr>
                <w:rFonts w:ascii="宋体" w:hAnsi="宋体" w:eastAsia="宋体"/>
                <w:sz w:val="18"/>
                <w:szCs w:val="1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tcPr>
          <w:p>
            <w:pPr>
              <w:spacing w:line="300" w:lineRule="auto"/>
              <w:jc w:val="center"/>
              <w:rPr>
                <w:rFonts w:ascii="宋体" w:hAnsi="宋体" w:eastAsia="宋体"/>
                <w:sz w:val="18"/>
                <w:szCs w:val="18"/>
              </w:rPr>
            </w:pPr>
          </w:p>
        </w:tc>
        <w:tc>
          <w:tcPr>
            <w:tcW w:w="1701" w:type="dxa"/>
          </w:tcPr>
          <w:p>
            <w:pPr>
              <w:spacing w:line="300" w:lineRule="auto"/>
              <w:jc w:val="left"/>
              <w:rPr>
                <w:rFonts w:ascii="宋体" w:hAnsi="宋体" w:eastAsia="宋体"/>
                <w:sz w:val="18"/>
                <w:szCs w:val="18"/>
              </w:rPr>
            </w:pPr>
            <w:r>
              <w:rPr>
                <w:rFonts w:hint="eastAsia" w:ascii="宋体" w:hAnsi="宋体" w:eastAsia="宋体"/>
                <w:sz w:val="18"/>
                <w:szCs w:val="18"/>
              </w:rPr>
              <w:t>拟投入资本总额</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00.00</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46.84</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50.71</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73.38</w:t>
            </w:r>
          </w:p>
        </w:tc>
        <w:tc>
          <w:tcPr>
            <w:tcW w:w="1134" w:type="dxa"/>
          </w:tcPr>
          <w:p>
            <w:pPr>
              <w:spacing w:line="300" w:lineRule="auto"/>
              <w:jc w:val="center"/>
              <w:rPr>
                <w:rFonts w:ascii="宋体" w:hAnsi="宋体" w:eastAsia="宋体"/>
                <w:sz w:val="18"/>
                <w:szCs w:val="18"/>
              </w:rPr>
            </w:pPr>
            <w:r>
              <w:rPr>
                <w:rFonts w:hint="eastAsia" w:ascii="宋体" w:hAnsi="宋体" w:eastAsia="宋体"/>
                <w:sz w:val="18"/>
                <w:szCs w:val="18"/>
              </w:rPr>
              <w:t>5</w:t>
            </w:r>
            <w:r>
              <w:rPr>
                <w:rFonts w:ascii="宋体" w:hAnsi="宋体" w:eastAsia="宋体"/>
                <w:sz w:val="18"/>
                <w:szCs w:val="18"/>
              </w:rPr>
              <w:t>84.38</w:t>
            </w:r>
          </w:p>
        </w:tc>
      </w:tr>
      <w:bookmarkEnd w:id="40"/>
    </w:tbl>
    <w:p>
      <w:pPr>
        <w:spacing w:line="300" w:lineRule="auto"/>
        <w:jc w:val="center"/>
        <w:rPr>
          <w:rFonts w:ascii="宋体" w:hAnsi="宋体" w:eastAsia="宋体"/>
          <w:szCs w:val="21"/>
        </w:rPr>
      </w:pPr>
    </w:p>
    <w:p>
      <w:pPr>
        <w:spacing w:line="300" w:lineRule="auto"/>
        <w:rPr>
          <w:rFonts w:ascii="宋体" w:hAnsi="宋体" w:eastAsia="宋体"/>
          <w:b/>
          <w:bCs/>
          <w:szCs w:val="21"/>
        </w:rPr>
      </w:pPr>
    </w:p>
    <w:p>
      <w:pPr>
        <w:pStyle w:val="3"/>
        <w:rPr>
          <w:rFonts w:ascii="黑体" w:hAnsi="黑体"/>
          <w:b w:val="0"/>
          <w:bCs/>
          <w:sz w:val="24"/>
        </w:rPr>
      </w:pPr>
      <w:bookmarkStart w:id="41" w:name="_Toc132368952"/>
      <w:r>
        <w:rPr>
          <w:rFonts w:ascii="黑体" w:hAnsi="黑体"/>
          <w:b w:val="0"/>
          <w:bCs/>
          <w:sz w:val="24"/>
        </w:rPr>
        <w:t>5.2</w:t>
      </w:r>
      <w:r>
        <w:rPr>
          <w:rFonts w:hint="eastAsia" w:ascii="黑体" w:hAnsi="黑体"/>
          <w:b w:val="0"/>
          <w:bCs/>
          <w:sz w:val="24"/>
        </w:rPr>
        <w:t>利润估计</w:t>
      </w:r>
      <w:bookmarkEnd w:id="41"/>
    </w:p>
    <w:p>
      <w:pPr>
        <w:pStyle w:val="4"/>
        <w:rPr>
          <w:rFonts w:ascii="黑体" w:hAnsi="黑体" w:eastAsia="黑体"/>
          <w:b w:val="0"/>
          <w:bCs w:val="0"/>
          <w:sz w:val="24"/>
          <w:szCs w:val="18"/>
        </w:rPr>
      </w:pPr>
      <w:bookmarkStart w:id="42" w:name="_Toc132368953"/>
      <w:r>
        <w:rPr>
          <w:rFonts w:ascii="黑体" w:hAnsi="黑体" w:eastAsia="黑体"/>
          <w:b w:val="0"/>
          <w:bCs w:val="0"/>
          <w:sz w:val="24"/>
          <w:szCs w:val="18"/>
        </w:rPr>
        <w:t>5.2.1</w:t>
      </w:r>
      <w:r>
        <w:rPr>
          <w:rFonts w:hint="eastAsia" w:ascii="黑体" w:hAnsi="黑体" w:eastAsia="黑体"/>
          <w:b w:val="0"/>
          <w:bCs w:val="0"/>
          <w:sz w:val="24"/>
          <w:szCs w:val="18"/>
        </w:rPr>
        <w:t>定价分析</w:t>
      </w:r>
      <w:bookmarkEnd w:id="42"/>
    </w:p>
    <w:p>
      <w:pPr>
        <w:spacing w:line="300" w:lineRule="auto"/>
        <w:ind w:firstLine="420" w:firstLineChars="200"/>
        <w:rPr>
          <w:rFonts w:ascii="宋体" w:hAnsi="宋体" w:eastAsia="宋体"/>
          <w:szCs w:val="21"/>
        </w:rPr>
      </w:pPr>
      <w:r>
        <w:rPr>
          <w:rFonts w:hint="eastAsia" w:ascii="宋体" w:hAnsi="宋体" w:eastAsia="宋体"/>
          <w:szCs w:val="21"/>
        </w:rPr>
        <w:t>通过综合调查市场市场情况，考察分析同类产品竞争者供给情况以及消费者需求，结合本公司运营情况以及利润最大化原则，本公司拟将指定两档产品价格，具体定价如下：</w:t>
      </w:r>
    </w:p>
    <w:p>
      <w:pPr>
        <w:spacing w:line="300" w:lineRule="auto"/>
        <w:ind w:firstLine="420" w:firstLineChars="200"/>
        <w:rPr>
          <w:rFonts w:ascii="宋体" w:hAnsi="宋体" w:eastAsia="宋体"/>
          <w:szCs w:val="21"/>
        </w:rPr>
      </w:pPr>
      <w:r>
        <w:rPr>
          <w:rFonts w:hint="eastAsia" w:ascii="宋体" w:hAnsi="宋体" w:eastAsia="宋体"/>
          <w:szCs w:val="21"/>
        </w:rPr>
        <w:t>普通型，预计定价</w:t>
      </w:r>
      <w:r>
        <w:rPr>
          <w:rFonts w:ascii="宋体" w:hAnsi="宋体" w:eastAsia="宋体"/>
          <w:szCs w:val="21"/>
        </w:rPr>
        <w:t>700</w:t>
      </w:r>
      <w:r>
        <w:rPr>
          <w:rFonts w:hint="eastAsia" w:ascii="宋体" w:hAnsi="宋体" w:eastAsia="宋体"/>
          <w:szCs w:val="21"/>
        </w:rPr>
        <w:t>元，实际采购成本4</w:t>
      </w:r>
      <w:r>
        <w:rPr>
          <w:rFonts w:ascii="宋体" w:hAnsi="宋体" w:eastAsia="宋体"/>
          <w:szCs w:val="21"/>
        </w:rPr>
        <w:t>00</w:t>
      </w:r>
      <w:r>
        <w:rPr>
          <w:rFonts w:hint="eastAsia" w:ascii="宋体" w:hAnsi="宋体" w:eastAsia="宋体"/>
          <w:szCs w:val="21"/>
        </w:rPr>
        <w:t>元左右，形成销售后毛利润率为：3</w:t>
      </w:r>
      <w:r>
        <w:rPr>
          <w:rFonts w:ascii="宋体" w:hAnsi="宋体" w:eastAsia="宋体"/>
          <w:szCs w:val="21"/>
        </w:rPr>
        <w:t>7.8%</w:t>
      </w:r>
      <w:r>
        <w:rPr>
          <w:rFonts w:hint="eastAsia" w:ascii="宋体" w:hAnsi="宋体" w:eastAsia="宋体"/>
          <w:szCs w:val="21"/>
        </w:rPr>
        <w:t>，净利润率为5</w:t>
      </w:r>
      <w:r>
        <w:rPr>
          <w:rFonts w:ascii="宋体" w:hAnsi="宋体" w:eastAsia="宋体"/>
          <w:szCs w:val="21"/>
        </w:rPr>
        <w:t>3.26%</w:t>
      </w:r>
      <w:r>
        <w:rPr>
          <w:rFonts w:hint="eastAsia" w:ascii="宋体" w:hAnsi="宋体" w:eastAsia="宋体"/>
          <w:szCs w:val="21"/>
        </w:rPr>
        <w:t>。</w:t>
      </w:r>
    </w:p>
    <w:p>
      <w:pPr>
        <w:spacing w:line="300" w:lineRule="auto"/>
        <w:ind w:firstLine="420" w:firstLineChars="200"/>
        <w:rPr>
          <w:rFonts w:ascii="宋体" w:hAnsi="宋体" w:eastAsia="宋体"/>
          <w:szCs w:val="21"/>
        </w:rPr>
      </w:pPr>
      <w:r>
        <w:rPr>
          <w:rFonts w:hint="eastAsia" w:ascii="宋体" w:hAnsi="宋体" w:eastAsia="宋体"/>
          <w:szCs w:val="21"/>
        </w:rPr>
        <w:t>高档型，预计定价1</w:t>
      </w:r>
      <w:r>
        <w:rPr>
          <w:rFonts w:ascii="宋体" w:hAnsi="宋体" w:eastAsia="宋体"/>
          <w:szCs w:val="21"/>
        </w:rPr>
        <w:t>000</w:t>
      </w:r>
      <w:r>
        <w:rPr>
          <w:rFonts w:hint="eastAsia" w:ascii="宋体" w:hAnsi="宋体" w:eastAsia="宋体"/>
          <w:szCs w:val="21"/>
        </w:rPr>
        <w:t>元，实际采购成本4</w:t>
      </w:r>
      <w:r>
        <w:rPr>
          <w:rFonts w:ascii="宋体" w:hAnsi="宋体" w:eastAsia="宋体"/>
          <w:szCs w:val="21"/>
        </w:rPr>
        <w:t>50</w:t>
      </w:r>
      <w:r>
        <w:rPr>
          <w:rFonts w:hint="eastAsia" w:ascii="宋体" w:hAnsi="宋体" w:eastAsia="宋体"/>
          <w:szCs w:val="21"/>
        </w:rPr>
        <w:t>元左右，形成销售后毛利润率为：4</w:t>
      </w:r>
      <w:r>
        <w:rPr>
          <w:rFonts w:ascii="宋体" w:hAnsi="宋体" w:eastAsia="宋体"/>
          <w:szCs w:val="21"/>
        </w:rPr>
        <w:t>8.5%</w:t>
      </w:r>
      <w:r>
        <w:rPr>
          <w:rFonts w:hint="eastAsia" w:ascii="宋体" w:hAnsi="宋体" w:eastAsia="宋体"/>
          <w:szCs w:val="21"/>
        </w:rPr>
        <w:t>，净利润率为：</w:t>
      </w:r>
      <w:r>
        <w:rPr>
          <w:rFonts w:ascii="宋体" w:hAnsi="宋体" w:eastAsia="宋体"/>
          <w:szCs w:val="21"/>
        </w:rPr>
        <w:t>64%</w:t>
      </w:r>
    </w:p>
    <w:p>
      <w:pPr>
        <w:pStyle w:val="4"/>
        <w:rPr>
          <w:rFonts w:ascii="黑体" w:hAnsi="黑体" w:eastAsia="黑体"/>
          <w:b w:val="0"/>
          <w:bCs w:val="0"/>
          <w:sz w:val="24"/>
          <w:szCs w:val="18"/>
        </w:rPr>
      </w:pPr>
      <w:bookmarkStart w:id="43" w:name="_Toc132368954"/>
      <w:r>
        <w:rPr>
          <w:rFonts w:ascii="黑体" w:hAnsi="黑体" w:eastAsia="黑体"/>
          <w:b w:val="0"/>
          <w:bCs w:val="0"/>
          <w:sz w:val="24"/>
          <w:szCs w:val="18"/>
        </w:rPr>
        <w:t>5.2.2</w:t>
      </w:r>
      <w:r>
        <w:rPr>
          <w:rFonts w:hint="eastAsia" w:ascii="黑体" w:hAnsi="黑体" w:eastAsia="黑体"/>
          <w:b w:val="0"/>
          <w:bCs w:val="0"/>
          <w:sz w:val="24"/>
          <w:szCs w:val="18"/>
        </w:rPr>
        <w:t>利润表</w:t>
      </w:r>
      <w:bookmarkEnd w:id="43"/>
    </w:p>
    <w:p>
      <w:pPr>
        <w:pStyle w:val="5"/>
        <w:keepNext/>
        <w:ind w:firstLine="420"/>
        <w:rPr>
          <w:rFonts w:ascii="宋体" w:hAnsi="宋体" w:eastAsia="宋体"/>
          <w:sz w:val="21"/>
          <w:szCs w:val="21"/>
        </w:rPr>
      </w:pPr>
      <w:r>
        <w:rPr>
          <w:rFonts w:ascii="宋体" w:hAnsi="宋体" w:eastAsia="宋体"/>
          <w:sz w:val="21"/>
          <w:szCs w:val="21"/>
        </w:rPr>
        <w:t xml:space="preserve">表格8-2 </w:t>
      </w:r>
      <w:r>
        <w:rPr>
          <w:rFonts w:hint="eastAsia" w:ascii="宋体" w:hAnsi="宋体" w:eastAsia="宋体"/>
          <w:sz w:val="21"/>
          <w:szCs w:val="21"/>
        </w:rPr>
        <w:t>利润表（单位：万元）</w:t>
      </w:r>
    </w:p>
    <w:tbl>
      <w:tblPr>
        <w:tblStyle w:val="1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1134"/>
        <w:gridCol w:w="1134"/>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5A5A5" w:themeFill="accent3"/>
          </w:tcPr>
          <w:p>
            <w:pPr>
              <w:spacing w:line="300" w:lineRule="auto"/>
              <w:jc w:val="center"/>
              <w:rPr>
                <w:rFonts w:ascii="宋体" w:hAnsi="宋体" w:eastAsia="宋体"/>
                <w:sz w:val="18"/>
                <w:szCs w:val="18"/>
              </w:rPr>
            </w:pPr>
            <w:bookmarkStart w:id="44" w:name="_Hlk132273260"/>
            <w:r>
              <w:rPr>
                <w:rFonts w:hint="eastAsia" w:ascii="宋体" w:hAnsi="宋体" w:eastAsia="宋体"/>
                <w:sz w:val="18"/>
                <w:szCs w:val="18"/>
              </w:rPr>
              <w:t>项目</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1</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2</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3</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4</w:t>
            </w:r>
          </w:p>
        </w:tc>
        <w:tc>
          <w:tcPr>
            <w:tcW w:w="1134"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一、营业收入</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74.00</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32.00</w:t>
            </w:r>
          </w:p>
        </w:tc>
        <w:tc>
          <w:tcPr>
            <w:tcW w:w="1134" w:type="dxa"/>
          </w:tcPr>
          <w:p>
            <w:pPr>
              <w:spacing w:line="300" w:lineRule="auto"/>
              <w:jc w:val="right"/>
              <w:rPr>
                <w:rFonts w:ascii="宋体" w:hAnsi="宋体" w:eastAsia="宋体"/>
                <w:sz w:val="18"/>
                <w:szCs w:val="18"/>
              </w:rPr>
            </w:pPr>
            <w:r>
              <w:rPr>
                <w:rFonts w:ascii="宋体" w:hAnsi="宋体" w:eastAsia="宋体"/>
                <w:sz w:val="18"/>
                <w:szCs w:val="18"/>
              </w:rPr>
              <w:t>406.00</w:t>
            </w:r>
          </w:p>
        </w:tc>
        <w:tc>
          <w:tcPr>
            <w:tcW w:w="1134" w:type="dxa"/>
          </w:tcPr>
          <w:p>
            <w:pPr>
              <w:spacing w:line="300" w:lineRule="auto"/>
              <w:jc w:val="right"/>
              <w:rPr>
                <w:rFonts w:ascii="宋体" w:hAnsi="宋体" w:eastAsia="宋体"/>
                <w:sz w:val="18"/>
                <w:szCs w:val="18"/>
              </w:rPr>
            </w:pPr>
            <w:r>
              <w:rPr>
                <w:rFonts w:ascii="宋体" w:hAnsi="宋体" w:eastAsia="宋体"/>
                <w:sz w:val="18"/>
                <w:szCs w:val="18"/>
              </w:rPr>
              <w:t>750.00</w:t>
            </w:r>
          </w:p>
        </w:tc>
        <w:tc>
          <w:tcPr>
            <w:tcW w:w="1134" w:type="dxa"/>
          </w:tcPr>
          <w:p>
            <w:pPr>
              <w:spacing w:line="300" w:lineRule="auto"/>
              <w:jc w:val="right"/>
              <w:rPr>
                <w:rFonts w:ascii="宋体" w:hAnsi="宋体" w:eastAsia="宋体"/>
                <w:sz w:val="18"/>
                <w:szCs w:val="18"/>
              </w:rPr>
            </w:pPr>
            <w:r>
              <w:rPr>
                <w:rFonts w:ascii="宋体" w:hAnsi="宋体" w:eastAsia="宋体"/>
                <w:sz w:val="18"/>
                <w:szCs w:val="18"/>
              </w:rPr>
              <w:t>1191.00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5A5A5" w:themeFill="accent3"/>
          </w:tcPr>
          <w:p>
            <w:pPr>
              <w:spacing w:line="300" w:lineRule="auto"/>
              <w:rPr>
                <w:rFonts w:ascii="宋体" w:hAnsi="宋体" w:eastAsia="宋体"/>
                <w:sz w:val="18"/>
                <w:szCs w:val="18"/>
              </w:rPr>
            </w:pPr>
            <w:r>
              <w:rPr>
                <w:rFonts w:hint="eastAsia" w:ascii="宋体" w:hAnsi="宋体" w:eastAsia="宋体"/>
                <w:sz w:val="18"/>
                <w:szCs w:val="18"/>
              </w:rPr>
              <w:t>减：营业成本</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5</w:t>
            </w:r>
            <w:r>
              <w:rPr>
                <w:rFonts w:ascii="宋体" w:hAnsi="宋体" w:eastAsia="宋体"/>
                <w:sz w:val="18"/>
                <w:szCs w:val="18"/>
              </w:rPr>
              <w:t>7.00</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8</w:t>
            </w:r>
            <w:r>
              <w:rPr>
                <w:rFonts w:ascii="宋体" w:hAnsi="宋体" w:eastAsia="宋体"/>
                <w:sz w:val="18"/>
                <w:szCs w:val="18"/>
              </w:rPr>
              <w:t>7.40</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65.95</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68.90</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56.20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5A5A5" w:themeFill="accent3"/>
          </w:tcPr>
          <w:p>
            <w:pPr>
              <w:spacing w:line="300" w:lineRule="auto"/>
              <w:rPr>
                <w:rFonts w:ascii="宋体" w:hAnsi="宋体" w:eastAsia="宋体"/>
                <w:sz w:val="18"/>
                <w:szCs w:val="18"/>
              </w:rPr>
            </w:pPr>
            <w:r>
              <w:rPr>
                <w:rFonts w:hint="eastAsia" w:ascii="宋体" w:hAnsi="宋体" w:eastAsia="宋体"/>
                <w:sz w:val="18"/>
                <w:szCs w:val="18"/>
              </w:rPr>
              <w:t>营业税金及附加</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2.88</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7.17</w:t>
            </w:r>
          </w:p>
        </w:tc>
        <w:tc>
          <w:tcPr>
            <w:tcW w:w="1134" w:type="dxa"/>
          </w:tcPr>
          <w:p>
            <w:pPr>
              <w:spacing w:line="300" w:lineRule="auto"/>
              <w:jc w:val="right"/>
              <w:rPr>
                <w:rFonts w:ascii="宋体" w:hAnsi="宋体" w:eastAsia="宋体"/>
                <w:sz w:val="18"/>
                <w:szCs w:val="18"/>
              </w:rPr>
            </w:pPr>
            <w:r>
              <w:rPr>
                <w:rFonts w:ascii="宋体" w:hAnsi="宋体" w:eastAsia="宋体"/>
                <w:sz w:val="18"/>
                <w:szCs w:val="18"/>
              </w:rPr>
              <w:t>30.04</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5</w:t>
            </w:r>
            <w:r>
              <w:rPr>
                <w:rFonts w:ascii="宋体" w:hAnsi="宋体" w:eastAsia="宋体"/>
                <w:sz w:val="18"/>
                <w:szCs w:val="18"/>
              </w:rPr>
              <w:t>5.50</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8</w:t>
            </w:r>
            <w:r>
              <w:rPr>
                <w:rFonts w:ascii="宋体" w:hAnsi="宋体" w:eastAsia="宋体"/>
                <w:sz w:val="18"/>
                <w:szCs w:val="18"/>
              </w:rPr>
              <w:t>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销售费用</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5</w:t>
            </w:r>
            <w:r>
              <w:rPr>
                <w:rFonts w:ascii="宋体" w:hAnsi="宋体" w:eastAsia="宋体"/>
                <w:sz w:val="18"/>
                <w:szCs w:val="18"/>
              </w:rPr>
              <w:t>.30</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8</w:t>
            </w:r>
            <w:r>
              <w:rPr>
                <w:rFonts w:ascii="宋体" w:hAnsi="宋体" w:eastAsia="宋体"/>
                <w:sz w:val="18"/>
                <w:szCs w:val="18"/>
              </w:rPr>
              <w:t>.82</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6.77</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4.89</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管理费用</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8</w:t>
            </w:r>
            <w:r>
              <w:rPr>
                <w:rFonts w:ascii="宋体" w:hAnsi="宋体" w:eastAsia="宋体"/>
                <w:sz w:val="18"/>
                <w:szCs w:val="18"/>
              </w:rPr>
              <w:t>.52</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0.86</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6.06</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1.39</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财务费用</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.00</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.00</w:t>
            </w: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资产减值损失</w:t>
            </w:r>
          </w:p>
        </w:tc>
        <w:tc>
          <w:tcPr>
            <w:tcW w:w="1134" w:type="dxa"/>
            <w:shd w:val="clear" w:color="auto" w:fill="auto"/>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134" w:type="dxa"/>
            <w:shd w:val="clear" w:color="auto" w:fill="auto"/>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134" w:type="dxa"/>
            <w:shd w:val="clear" w:color="auto" w:fill="auto"/>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134" w:type="dxa"/>
            <w:shd w:val="clear" w:color="auto" w:fill="auto"/>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134" w:type="dxa"/>
            <w:shd w:val="clear" w:color="auto" w:fill="auto"/>
          </w:tcPr>
          <w:p>
            <w:pPr>
              <w:spacing w:line="300" w:lineRule="auto"/>
              <w:jc w:val="right"/>
              <w:rPr>
                <w:rFonts w:ascii="宋体" w:hAnsi="宋体" w:eastAsia="宋体"/>
                <w:sz w:val="18"/>
                <w:szCs w:val="18"/>
              </w:rPr>
            </w:pPr>
            <w:r>
              <w:rPr>
                <w:rFonts w:hint="eastAsia" w:ascii="宋体" w:hAnsi="宋体"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加：公允价值变动收益（损失以“-”号填列）</w:t>
            </w: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投资收益（损失以“-”号填列）</w:t>
            </w: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其中：对联营企业和合营企业的投资收益</w:t>
            </w: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二、营业利润（亏损以“-”号填列）</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8</w:t>
            </w:r>
            <w:r>
              <w:rPr>
                <w:rFonts w:ascii="宋体" w:hAnsi="宋体" w:eastAsia="宋体"/>
                <w:sz w:val="18"/>
                <w:szCs w:val="18"/>
              </w:rPr>
              <w:t>7.30</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05.75</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77.18</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79.32</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5</w:t>
            </w:r>
            <w:r>
              <w:rPr>
                <w:rFonts w:ascii="宋体" w:hAnsi="宋体" w:eastAsia="宋体"/>
                <w:sz w:val="18"/>
                <w:szCs w:val="18"/>
              </w:rPr>
              <w:t>72.88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加：营业外收入</w:t>
            </w: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减：营业外支出</w:t>
            </w: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其中：非流动资产处置损失</w:t>
            </w: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三、利润总额（亏损总额以“-”号填列）</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8</w:t>
            </w:r>
            <w:r>
              <w:rPr>
                <w:rFonts w:ascii="宋体" w:hAnsi="宋体" w:eastAsia="宋体"/>
                <w:sz w:val="18"/>
                <w:szCs w:val="18"/>
              </w:rPr>
              <w:t>7.30</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05.75</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77.18</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79.32</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5</w:t>
            </w:r>
            <w:r>
              <w:rPr>
                <w:rFonts w:ascii="宋体" w:hAnsi="宋体" w:eastAsia="宋体"/>
                <w:sz w:val="18"/>
                <w:szCs w:val="18"/>
              </w:rPr>
              <w:t>72.88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减：所得税费用</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6.58</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5</w:t>
            </w:r>
            <w:r>
              <w:rPr>
                <w:rFonts w:ascii="宋体" w:hAnsi="宋体" w:eastAsia="宋体"/>
                <w:sz w:val="18"/>
                <w:szCs w:val="18"/>
              </w:rPr>
              <w:t>6.90</w:t>
            </w:r>
          </w:p>
        </w:tc>
        <w:tc>
          <w:tcPr>
            <w:tcW w:w="1134" w:type="dxa"/>
          </w:tcPr>
          <w:p>
            <w:pPr>
              <w:spacing w:line="300" w:lineRule="auto"/>
              <w:jc w:val="right"/>
              <w:rPr>
                <w:rFonts w:ascii="宋体" w:hAnsi="宋体" w:eastAsia="宋体"/>
                <w:sz w:val="18"/>
                <w:szCs w:val="18"/>
              </w:rPr>
            </w:pPr>
            <w:r>
              <w:rPr>
                <w:rFonts w:hint="eastAsia" w:ascii="宋体" w:hAnsi="宋体" w:eastAsia="宋体"/>
                <w:sz w:val="18"/>
                <w:szCs w:val="18"/>
              </w:rPr>
              <w:t>8</w:t>
            </w:r>
            <w:r>
              <w:rPr>
                <w:rFonts w:ascii="宋体" w:hAnsi="宋体" w:eastAsia="宋体"/>
                <w:sz w:val="18"/>
                <w:szCs w:val="18"/>
              </w:rPr>
              <w:t>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四、净利润（净亏损以“-”号填列）</w:t>
            </w:r>
          </w:p>
        </w:tc>
        <w:tc>
          <w:tcPr>
            <w:tcW w:w="1134"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8</w:t>
            </w:r>
            <w:r>
              <w:rPr>
                <w:rFonts w:ascii="宋体" w:hAnsi="宋体" w:eastAsia="宋体"/>
                <w:sz w:val="18"/>
                <w:szCs w:val="18"/>
              </w:rPr>
              <w:t>7.30</w:t>
            </w:r>
          </w:p>
        </w:tc>
        <w:tc>
          <w:tcPr>
            <w:tcW w:w="1134"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05.75</w:t>
            </w:r>
          </w:p>
        </w:tc>
        <w:tc>
          <w:tcPr>
            <w:tcW w:w="1134"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50.60</w:t>
            </w:r>
          </w:p>
        </w:tc>
        <w:tc>
          <w:tcPr>
            <w:tcW w:w="1134"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22.42</w:t>
            </w:r>
          </w:p>
        </w:tc>
        <w:tc>
          <w:tcPr>
            <w:tcW w:w="1134"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86.95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五、每股收益：</w:t>
            </w:r>
          </w:p>
        </w:tc>
        <w:tc>
          <w:tcPr>
            <w:tcW w:w="1134" w:type="dxa"/>
            <w:shd w:val="clear" w:color="auto" w:fill="auto"/>
          </w:tcPr>
          <w:p>
            <w:pPr>
              <w:spacing w:line="300" w:lineRule="auto"/>
              <w:jc w:val="right"/>
              <w:rPr>
                <w:rFonts w:ascii="宋体" w:hAnsi="宋体" w:eastAsia="宋体"/>
                <w:sz w:val="18"/>
                <w:szCs w:val="18"/>
              </w:rPr>
            </w:pPr>
          </w:p>
        </w:tc>
        <w:tc>
          <w:tcPr>
            <w:tcW w:w="1134" w:type="dxa"/>
            <w:shd w:val="clear" w:color="auto" w:fill="auto"/>
          </w:tcPr>
          <w:p>
            <w:pPr>
              <w:spacing w:line="300" w:lineRule="auto"/>
              <w:jc w:val="right"/>
              <w:rPr>
                <w:rFonts w:ascii="宋体" w:hAnsi="宋体" w:eastAsia="宋体"/>
                <w:sz w:val="18"/>
                <w:szCs w:val="18"/>
              </w:rPr>
            </w:pPr>
          </w:p>
        </w:tc>
        <w:tc>
          <w:tcPr>
            <w:tcW w:w="1134" w:type="dxa"/>
            <w:shd w:val="clear" w:color="auto" w:fill="auto"/>
          </w:tcPr>
          <w:p>
            <w:pPr>
              <w:spacing w:line="300" w:lineRule="auto"/>
              <w:jc w:val="right"/>
              <w:rPr>
                <w:rFonts w:ascii="宋体" w:hAnsi="宋体" w:eastAsia="宋体"/>
                <w:sz w:val="18"/>
                <w:szCs w:val="18"/>
              </w:rPr>
            </w:pPr>
          </w:p>
        </w:tc>
        <w:tc>
          <w:tcPr>
            <w:tcW w:w="1134" w:type="dxa"/>
            <w:shd w:val="clear" w:color="auto" w:fill="auto"/>
          </w:tcPr>
          <w:p>
            <w:pPr>
              <w:spacing w:line="300" w:lineRule="auto"/>
              <w:jc w:val="right"/>
              <w:rPr>
                <w:rFonts w:ascii="宋体" w:hAnsi="宋体" w:eastAsia="宋体"/>
                <w:sz w:val="18"/>
                <w:szCs w:val="18"/>
              </w:rPr>
            </w:pPr>
          </w:p>
        </w:tc>
        <w:tc>
          <w:tcPr>
            <w:tcW w:w="1134" w:type="dxa"/>
            <w:shd w:val="clear" w:color="auto" w:fill="auto"/>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（一）基本每股收益</w:t>
            </w: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（二）稀释每股收益</w:t>
            </w: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六、其他综合收益</w:t>
            </w: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c>
          <w:tcPr>
            <w:tcW w:w="1134" w:type="dxa"/>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七、综合收益总额</w:t>
            </w:r>
          </w:p>
        </w:tc>
        <w:tc>
          <w:tcPr>
            <w:tcW w:w="1134" w:type="dxa"/>
            <w:shd w:val="clear" w:color="auto" w:fill="auto"/>
          </w:tcPr>
          <w:p>
            <w:pPr>
              <w:spacing w:line="300" w:lineRule="auto"/>
              <w:jc w:val="center"/>
              <w:rPr>
                <w:rFonts w:ascii="宋体" w:hAnsi="宋体" w:eastAsia="宋体"/>
                <w:sz w:val="18"/>
                <w:szCs w:val="18"/>
              </w:rPr>
            </w:pPr>
          </w:p>
        </w:tc>
        <w:tc>
          <w:tcPr>
            <w:tcW w:w="1134" w:type="dxa"/>
            <w:shd w:val="clear" w:color="auto" w:fill="auto"/>
          </w:tcPr>
          <w:p>
            <w:pPr>
              <w:spacing w:line="300" w:lineRule="auto"/>
              <w:jc w:val="center"/>
              <w:rPr>
                <w:rFonts w:ascii="宋体" w:hAnsi="宋体" w:eastAsia="宋体"/>
                <w:sz w:val="18"/>
                <w:szCs w:val="18"/>
              </w:rPr>
            </w:pPr>
          </w:p>
        </w:tc>
        <w:tc>
          <w:tcPr>
            <w:tcW w:w="1134" w:type="dxa"/>
            <w:shd w:val="clear" w:color="auto" w:fill="auto"/>
          </w:tcPr>
          <w:p>
            <w:pPr>
              <w:spacing w:line="300" w:lineRule="auto"/>
              <w:jc w:val="center"/>
              <w:rPr>
                <w:rFonts w:ascii="宋体" w:hAnsi="宋体" w:eastAsia="宋体"/>
                <w:sz w:val="18"/>
                <w:szCs w:val="18"/>
              </w:rPr>
            </w:pPr>
          </w:p>
        </w:tc>
        <w:tc>
          <w:tcPr>
            <w:tcW w:w="1134" w:type="dxa"/>
            <w:shd w:val="clear" w:color="auto" w:fill="auto"/>
          </w:tcPr>
          <w:p>
            <w:pPr>
              <w:spacing w:line="300" w:lineRule="auto"/>
              <w:jc w:val="center"/>
              <w:rPr>
                <w:rFonts w:ascii="宋体" w:hAnsi="宋体" w:eastAsia="宋体"/>
                <w:sz w:val="18"/>
                <w:szCs w:val="18"/>
              </w:rPr>
            </w:pPr>
          </w:p>
        </w:tc>
        <w:tc>
          <w:tcPr>
            <w:tcW w:w="1134" w:type="dxa"/>
            <w:shd w:val="clear" w:color="auto" w:fill="auto"/>
          </w:tcPr>
          <w:p>
            <w:pPr>
              <w:spacing w:line="300" w:lineRule="auto"/>
              <w:jc w:val="center"/>
              <w:rPr>
                <w:rFonts w:ascii="宋体" w:hAnsi="宋体" w:eastAsia="宋体"/>
                <w:sz w:val="18"/>
                <w:szCs w:val="18"/>
              </w:rPr>
            </w:pPr>
          </w:p>
        </w:tc>
      </w:tr>
      <w:bookmarkEnd w:id="44"/>
    </w:tbl>
    <w:p>
      <w:pPr>
        <w:spacing w:line="300" w:lineRule="auto"/>
        <w:ind w:firstLine="420" w:firstLineChars="200"/>
        <w:rPr>
          <w:rFonts w:ascii="宋体" w:hAnsi="宋体" w:eastAsia="宋体"/>
          <w:szCs w:val="21"/>
        </w:rPr>
      </w:pPr>
      <w:r>
        <w:rPr>
          <w:rFonts w:hint="eastAsia" w:ascii="宋体" w:hAnsi="宋体" w:eastAsia="宋体"/>
          <w:szCs w:val="21"/>
        </w:rPr>
        <w:t>*利润估计说明：</w:t>
      </w:r>
    </w:p>
    <w:p>
      <w:pPr>
        <w:spacing w:line="300" w:lineRule="auto"/>
        <w:ind w:firstLine="420" w:firstLineChars="200"/>
        <w:rPr>
          <w:rFonts w:ascii="宋体" w:hAnsi="宋体" w:eastAsia="宋体"/>
          <w:szCs w:val="21"/>
        </w:rPr>
      </w:pPr>
      <w:r>
        <w:rPr>
          <w:rFonts w:hint="eastAsia" w:ascii="宋体" w:hAnsi="宋体" w:eastAsia="宋体"/>
          <w:szCs w:val="21"/>
        </w:rPr>
        <w:t>本公司为高新技术企业，公司创立之初两年所得税税率为</w:t>
      </w:r>
      <w:r>
        <w:rPr>
          <w:rFonts w:ascii="宋体" w:hAnsi="宋体" w:eastAsia="宋体"/>
          <w:szCs w:val="21"/>
        </w:rPr>
        <w:t xml:space="preserve"> 0％，</w:t>
      </w:r>
      <w:r>
        <w:rPr>
          <w:rFonts w:hint="eastAsia" w:ascii="宋体" w:hAnsi="宋体" w:eastAsia="宋体"/>
          <w:szCs w:val="21"/>
        </w:rPr>
        <w:t>之后年份所得税税率均为</w:t>
      </w:r>
      <w:r>
        <w:rPr>
          <w:rFonts w:ascii="宋体" w:hAnsi="宋体" w:eastAsia="宋体"/>
          <w:szCs w:val="21"/>
        </w:rPr>
        <w:t xml:space="preserve"> 15％。城乡维护建设税取 0.4%,教育费附加税率取 2%,</w:t>
      </w:r>
      <w:r>
        <w:rPr>
          <w:rFonts w:hint="eastAsia" w:ascii="宋体" w:hAnsi="宋体" w:eastAsia="宋体"/>
          <w:szCs w:val="21"/>
        </w:rPr>
        <w:t>本公司适用的营业税税率为</w:t>
      </w:r>
      <w:r>
        <w:rPr>
          <w:rFonts w:ascii="宋体" w:hAnsi="宋体" w:eastAsia="宋体"/>
          <w:szCs w:val="21"/>
        </w:rPr>
        <w:t xml:space="preserve"> 5％,公积金取税后利润的 10％,公益金取税后利润的5％。</w:t>
      </w:r>
    </w:p>
    <w:p>
      <w:pPr>
        <w:pStyle w:val="3"/>
        <w:rPr>
          <w:rFonts w:ascii="黑体" w:hAnsi="黑体"/>
          <w:b w:val="0"/>
          <w:bCs/>
          <w:sz w:val="24"/>
        </w:rPr>
      </w:pPr>
      <w:bookmarkStart w:id="45" w:name="_Toc132368955"/>
      <w:r>
        <w:rPr>
          <w:rFonts w:ascii="黑体" w:hAnsi="黑体"/>
          <w:b w:val="0"/>
          <w:bCs/>
          <w:sz w:val="24"/>
        </w:rPr>
        <w:t>5.3</w:t>
      </w:r>
      <w:r>
        <w:rPr>
          <w:rFonts w:hint="eastAsia" w:ascii="黑体" w:hAnsi="黑体"/>
          <w:b w:val="0"/>
          <w:bCs/>
          <w:sz w:val="24"/>
        </w:rPr>
        <w:t>公司现金流量表</w:t>
      </w:r>
      <w:bookmarkEnd w:id="45"/>
    </w:p>
    <w:p>
      <w:pPr>
        <w:pStyle w:val="5"/>
        <w:keepNext/>
        <w:ind w:firstLine="420"/>
        <w:rPr>
          <w:rFonts w:ascii="宋体" w:hAnsi="宋体" w:eastAsia="宋体"/>
          <w:sz w:val="21"/>
          <w:szCs w:val="21"/>
        </w:rPr>
      </w:pPr>
      <w:r>
        <w:rPr>
          <w:rFonts w:ascii="宋体" w:hAnsi="宋体" w:eastAsia="宋体"/>
          <w:sz w:val="21"/>
          <w:szCs w:val="21"/>
        </w:rPr>
        <w:t xml:space="preserve">表8-3 </w:t>
      </w:r>
      <w:r>
        <w:rPr>
          <w:rFonts w:hint="eastAsia" w:ascii="宋体" w:hAnsi="宋体" w:eastAsia="宋体"/>
          <w:sz w:val="21"/>
          <w:szCs w:val="21"/>
        </w:rPr>
        <w:t>公司现金流量表（单位：万元）</w:t>
      </w:r>
    </w:p>
    <w:tbl>
      <w:tblPr>
        <w:tblStyle w:val="15"/>
        <w:tblW w:w="9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8"/>
        <w:gridCol w:w="1020"/>
        <w:gridCol w:w="1020"/>
        <w:gridCol w:w="1020"/>
        <w:gridCol w:w="1020"/>
        <w:gridCol w:w="1020"/>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center"/>
              <w:rPr>
                <w:rFonts w:ascii="宋体" w:hAnsi="宋体" w:eastAsia="宋体"/>
                <w:sz w:val="18"/>
                <w:szCs w:val="18"/>
              </w:rPr>
            </w:pPr>
            <w:bookmarkStart w:id="46" w:name="_Hlk132293855"/>
            <w:r>
              <w:rPr>
                <w:rFonts w:hint="eastAsia" w:ascii="宋体" w:hAnsi="宋体" w:eastAsia="宋体"/>
                <w:sz w:val="18"/>
                <w:szCs w:val="18"/>
              </w:rPr>
              <w:t>项目</w:t>
            </w:r>
          </w:p>
        </w:tc>
        <w:tc>
          <w:tcPr>
            <w:tcW w:w="1020"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0</w:t>
            </w:r>
          </w:p>
        </w:tc>
        <w:tc>
          <w:tcPr>
            <w:tcW w:w="1020"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1</w:t>
            </w:r>
          </w:p>
        </w:tc>
        <w:tc>
          <w:tcPr>
            <w:tcW w:w="1020"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2</w:t>
            </w:r>
          </w:p>
        </w:tc>
        <w:tc>
          <w:tcPr>
            <w:tcW w:w="1020"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3</w:t>
            </w:r>
          </w:p>
        </w:tc>
        <w:tc>
          <w:tcPr>
            <w:tcW w:w="1020"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4</w:t>
            </w:r>
          </w:p>
        </w:tc>
        <w:tc>
          <w:tcPr>
            <w:tcW w:w="1020"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一、经营活动产生的现金流量：</w:t>
            </w: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rPr>
                <w:rFonts w:ascii="宋体" w:hAnsi="宋体" w:eastAsia="宋体"/>
                <w:sz w:val="18"/>
                <w:szCs w:val="18"/>
              </w:rPr>
            </w:pPr>
            <w:r>
              <w:rPr>
                <w:rFonts w:hint="eastAsia" w:ascii="宋体" w:hAnsi="宋体" w:eastAsia="宋体"/>
                <w:sz w:val="18"/>
                <w:szCs w:val="18"/>
              </w:rPr>
              <w:t>销售商品、提供劳务收到的现金</w:t>
            </w: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74.00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32.00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06.00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7</w:t>
            </w:r>
            <w:r>
              <w:rPr>
                <w:rFonts w:ascii="宋体" w:hAnsi="宋体" w:eastAsia="宋体"/>
                <w:sz w:val="18"/>
                <w:szCs w:val="18"/>
              </w:rPr>
              <w:t>50.00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191.00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rPr>
                <w:rFonts w:ascii="宋体" w:hAnsi="宋体" w:eastAsia="宋体"/>
                <w:sz w:val="18"/>
                <w:szCs w:val="18"/>
              </w:rPr>
            </w:pPr>
            <w:r>
              <w:rPr>
                <w:rFonts w:hint="eastAsia" w:ascii="宋体" w:hAnsi="宋体" w:eastAsia="宋体"/>
                <w:sz w:val="18"/>
                <w:szCs w:val="18"/>
              </w:rPr>
              <w:t>收到的税费返还</w:t>
            </w: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收到的其他与经营活动有关的现金</w:t>
            </w: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现金流入小计</w:t>
            </w: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74.00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32.00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06.00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7</w:t>
            </w:r>
            <w:r>
              <w:rPr>
                <w:rFonts w:ascii="宋体" w:hAnsi="宋体" w:eastAsia="宋体"/>
                <w:sz w:val="18"/>
                <w:szCs w:val="18"/>
              </w:rPr>
              <w:t>50.00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191.00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购买商品、接受劳务支付的现金</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6</w:t>
            </w:r>
            <w:r>
              <w:rPr>
                <w:rFonts w:ascii="宋体" w:hAnsi="宋体" w:eastAsia="宋体"/>
                <w:sz w:val="18"/>
                <w:szCs w:val="18"/>
              </w:rPr>
              <w:t>5.52</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5</w:t>
            </w:r>
            <w:r>
              <w:rPr>
                <w:rFonts w:ascii="宋体" w:hAnsi="宋体" w:eastAsia="宋体"/>
                <w:sz w:val="18"/>
                <w:szCs w:val="18"/>
              </w:rPr>
              <w:t>7.00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8</w:t>
            </w:r>
            <w:r>
              <w:rPr>
                <w:rFonts w:ascii="宋体" w:hAnsi="宋体" w:eastAsia="宋体"/>
                <w:sz w:val="18"/>
                <w:szCs w:val="18"/>
              </w:rPr>
              <w:t>7.40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65.95</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68.90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56.20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支付给职工以及为职工支付的现金</w:t>
            </w:r>
          </w:p>
        </w:tc>
        <w:tc>
          <w:tcPr>
            <w:tcW w:w="1020" w:type="dxa"/>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7.43</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8.30</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1.13</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9.69</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支付的各项税费</w:t>
            </w: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2.88</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7.17</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0.04</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5</w:t>
            </w:r>
            <w:r>
              <w:rPr>
                <w:rFonts w:ascii="宋体" w:hAnsi="宋体" w:eastAsia="宋体"/>
                <w:sz w:val="18"/>
                <w:szCs w:val="18"/>
              </w:rPr>
              <w:t>5.50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8</w:t>
            </w:r>
            <w:r>
              <w:rPr>
                <w:rFonts w:ascii="宋体" w:hAnsi="宋体" w:eastAsia="宋体"/>
                <w:sz w:val="18"/>
                <w:szCs w:val="18"/>
              </w:rPr>
              <w:t>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支付的其他与经营活动有关的现金</w:t>
            </w: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现金流出小计</w:t>
            </w: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9</w:t>
            </w:r>
            <w:r>
              <w:rPr>
                <w:rFonts w:ascii="宋体" w:hAnsi="宋体" w:eastAsia="宋体"/>
                <w:sz w:val="18"/>
                <w:szCs w:val="18"/>
              </w:rPr>
              <w:t>7.31</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42.87</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37.12</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74.18</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5</w:t>
            </w:r>
            <w:r>
              <w:rPr>
                <w:rFonts w:ascii="宋体" w:hAnsi="宋体" w:eastAsia="宋体"/>
                <w:sz w:val="18"/>
                <w:szCs w:val="18"/>
              </w:rPr>
              <w:t>94.02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经营活动产生的现金流量净额</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w:t>
            </w:r>
            <w:r>
              <w:rPr>
                <w:rFonts w:ascii="宋体" w:hAnsi="宋体" w:eastAsia="宋体"/>
                <w:sz w:val="18"/>
                <w:szCs w:val="18"/>
              </w:rPr>
              <w:t>65.52</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7</w:t>
            </w:r>
            <w:r>
              <w:rPr>
                <w:rFonts w:ascii="宋体" w:hAnsi="宋体" w:eastAsia="宋体"/>
                <w:sz w:val="18"/>
                <w:szCs w:val="18"/>
              </w:rPr>
              <w:t>6.69</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8</w:t>
            </w:r>
            <w:r>
              <w:rPr>
                <w:rFonts w:ascii="宋体" w:hAnsi="宋体" w:eastAsia="宋体"/>
                <w:sz w:val="18"/>
                <w:szCs w:val="18"/>
              </w:rPr>
              <w:t>9.13</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68.88</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75.82</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5</w:t>
            </w:r>
            <w:r>
              <w:rPr>
                <w:rFonts w:ascii="宋体" w:hAnsi="宋体" w:eastAsia="宋体"/>
                <w:sz w:val="18"/>
                <w:szCs w:val="18"/>
              </w:rPr>
              <w:t>96.98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二、投资活动产生的现金流量：</w:t>
            </w: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收回投资所收到的现金</w:t>
            </w: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取得投资收益所收到的现金</w:t>
            </w: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处置固定资产、无形资产和其他长期资产所收回的现金净额</w:t>
            </w: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收到的其他与投资活动有关的现金</w:t>
            </w:r>
          </w:p>
        </w:tc>
        <w:tc>
          <w:tcPr>
            <w:tcW w:w="1020" w:type="dxa"/>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现金流入小计</w:t>
            </w:r>
          </w:p>
        </w:tc>
        <w:tc>
          <w:tcPr>
            <w:tcW w:w="1020" w:type="dxa"/>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购建固定资产、无形资产和其他长期资产所支付的现金</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7</w:t>
            </w:r>
            <w:r>
              <w:rPr>
                <w:rFonts w:ascii="宋体" w:hAnsi="宋体" w:eastAsia="宋体"/>
                <w:sz w:val="18"/>
                <w:szCs w:val="18"/>
              </w:rPr>
              <w:t>.40</w:t>
            </w: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投资所支付的现金</w:t>
            </w: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支付的其他与投资活动有关的现金</w:t>
            </w: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现金流出小计</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w:t>
            </w:r>
            <w:r>
              <w:rPr>
                <w:rFonts w:ascii="宋体" w:hAnsi="宋体" w:eastAsia="宋体"/>
                <w:sz w:val="18"/>
                <w:szCs w:val="18"/>
              </w:rPr>
              <w:t>7.40</w:t>
            </w: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投资活动产生的现金流量净额</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w:t>
            </w:r>
            <w:r>
              <w:rPr>
                <w:rFonts w:ascii="宋体" w:hAnsi="宋体" w:eastAsia="宋体"/>
                <w:sz w:val="18"/>
                <w:szCs w:val="18"/>
              </w:rPr>
              <w:t>7.40</w:t>
            </w: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三、筹资活动产生的现金流量：</w:t>
            </w:r>
          </w:p>
        </w:tc>
        <w:tc>
          <w:tcPr>
            <w:tcW w:w="1020" w:type="dxa"/>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吸收投资所收到的现金</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00.00</w:t>
            </w: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借款所收到的现金</w:t>
            </w:r>
          </w:p>
        </w:tc>
        <w:tc>
          <w:tcPr>
            <w:tcW w:w="1020" w:type="dxa"/>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收到的其他与筹资活动相关的现金</w:t>
            </w:r>
          </w:p>
        </w:tc>
        <w:tc>
          <w:tcPr>
            <w:tcW w:w="1020" w:type="dxa"/>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现金流入小计</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00.00</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偿还债务所支付的现金</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分配股利、利润或偿付利息所支付的现金</w:t>
            </w:r>
          </w:p>
        </w:tc>
        <w:tc>
          <w:tcPr>
            <w:tcW w:w="1020" w:type="dxa"/>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.37</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5</w:t>
            </w:r>
            <w:r>
              <w:rPr>
                <w:rFonts w:ascii="宋体" w:hAnsi="宋体" w:eastAsia="宋体"/>
                <w:sz w:val="18"/>
                <w:szCs w:val="18"/>
              </w:rPr>
              <w:t>.29</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7</w:t>
            </w:r>
            <w:r>
              <w:rPr>
                <w:rFonts w:ascii="宋体" w:hAnsi="宋体" w:eastAsia="宋体"/>
                <w:sz w:val="18"/>
                <w:szCs w:val="18"/>
              </w:rPr>
              <w:t>.53</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6.12</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支付的其他与筹资活动有关的现金</w:t>
            </w:r>
          </w:p>
        </w:tc>
        <w:tc>
          <w:tcPr>
            <w:tcW w:w="1020" w:type="dxa"/>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8</w:t>
            </w:r>
            <w:r>
              <w:rPr>
                <w:rFonts w:ascii="宋体" w:hAnsi="宋体" w:eastAsia="宋体"/>
                <w:sz w:val="18"/>
                <w:szCs w:val="18"/>
              </w:rPr>
              <w:t>.00</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8</w:t>
            </w:r>
            <w:r>
              <w:rPr>
                <w:rFonts w:ascii="宋体" w:hAnsi="宋体" w:eastAsia="宋体"/>
                <w:sz w:val="18"/>
                <w:szCs w:val="18"/>
              </w:rPr>
              <w:t>.00</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2.00</w:t>
            </w: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现金流出小计</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8</w:t>
            </w:r>
            <w:r>
              <w:rPr>
                <w:rFonts w:ascii="宋体" w:hAnsi="宋体" w:eastAsia="宋体"/>
                <w:sz w:val="18"/>
                <w:szCs w:val="18"/>
              </w:rPr>
              <w:t>.00</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8</w:t>
            </w:r>
            <w:r>
              <w:rPr>
                <w:rFonts w:ascii="宋体" w:hAnsi="宋体" w:eastAsia="宋体"/>
                <w:sz w:val="18"/>
                <w:szCs w:val="18"/>
              </w:rPr>
              <w:t>.00</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2.00</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筹资活动产生的现金流量净额</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00.00</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r>
              <w:rPr>
                <w:rFonts w:ascii="宋体" w:hAnsi="宋体" w:eastAsia="宋体"/>
                <w:sz w:val="18"/>
                <w:szCs w:val="18"/>
              </w:rPr>
              <w:t>12.37</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r>
              <w:rPr>
                <w:rFonts w:ascii="宋体" w:hAnsi="宋体" w:eastAsia="宋体"/>
                <w:sz w:val="18"/>
                <w:szCs w:val="18"/>
              </w:rPr>
              <w:t>13.29</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r>
              <w:rPr>
                <w:rFonts w:ascii="宋体" w:hAnsi="宋体" w:eastAsia="宋体"/>
                <w:sz w:val="18"/>
                <w:szCs w:val="18"/>
              </w:rPr>
              <w:t>29.53</w:t>
            </w:r>
          </w:p>
        </w:tc>
        <w:tc>
          <w:tcPr>
            <w:tcW w:w="1020" w:type="dxa"/>
            <w:shd w:val="clear" w:color="auto" w:fill="auto"/>
            <w:vAlign w:val="bottom"/>
          </w:tcPr>
          <w:p>
            <w:pPr>
              <w:spacing w:line="300" w:lineRule="auto"/>
              <w:jc w:val="right"/>
              <w:rPr>
                <w:rFonts w:ascii="宋体" w:hAnsi="宋体" w:eastAsia="宋体"/>
                <w:sz w:val="18"/>
                <w:szCs w:val="18"/>
              </w:rPr>
            </w:pPr>
            <w:r>
              <w:rPr>
                <w:rFonts w:ascii="宋体" w:hAnsi="宋体" w:eastAsia="宋体"/>
                <w:sz w:val="18"/>
                <w:szCs w:val="18"/>
              </w:rPr>
              <w:t>-</w:t>
            </w:r>
            <w:r>
              <w:rPr>
                <w:rFonts w:hint="eastAsia" w:ascii="宋体" w:hAnsi="宋体" w:eastAsia="宋体"/>
                <w:sz w:val="18"/>
                <w:szCs w:val="18"/>
              </w:rPr>
              <w:t>1</w:t>
            </w:r>
            <w:r>
              <w:rPr>
                <w:rFonts w:ascii="宋体" w:hAnsi="宋体" w:eastAsia="宋体"/>
                <w:sz w:val="18"/>
                <w:szCs w:val="18"/>
              </w:rPr>
              <w:t>6.12</w:t>
            </w:r>
          </w:p>
        </w:tc>
        <w:tc>
          <w:tcPr>
            <w:tcW w:w="1020" w:type="dxa"/>
            <w:shd w:val="clear" w:color="auto" w:fill="auto"/>
            <w:vAlign w:val="bottom"/>
          </w:tcPr>
          <w:p>
            <w:pPr>
              <w:spacing w:line="300" w:lineRule="auto"/>
              <w:jc w:val="right"/>
              <w:rPr>
                <w:rFonts w:ascii="宋体" w:hAnsi="宋体" w:eastAsia="宋体"/>
                <w:sz w:val="18"/>
                <w:szCs w:val="18"/>
              </w:rPr>
            </w:pPr>
            <w:r>
              <w:rPr>
                <w:rFonts w:ascii="宋体" w:hAnsi="宋体" w:eastAsia="宋体"/>
                <w:sz w:val="18"/>
                <w:szCs w:val="18"/>
              </w:rPr>
              <w:t>-</w:t>
            </w:r>
            <w:r>
              <w:rPr>
                <w:rFonts w:hint="eastAsia" w:ascii="宋体" w:hAnsi="宋体" w:eastAsia="宋体"/>
                <w:sz w:val="18"/>
                <w:szCs w:val="18"/>
              </w:rPr>
              <w:t>2</w:t>
            </w:r>
            <w:r>
              <w:rPr>
                <w:rFonts w:ascii="宋体" w:hAnsi="宋体" w:eastAsia="宋体"/>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四、汇率变动对现金的影响</w:t>
            </w:r>
          </w:p>
        </w:tc>
        <w:tc>
          <w:tcPr>
            <w:tcW w:w="1020" w:type="dxa"/>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五、现金及现金等价物净增加额</w:t>
            </w:r>
          </w:p>
        </w:tc>
        <w:tc>
          <w:tcPr>
            <w:tcW w:w="1020" w:type="dxa"/>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补充资料</w:t>
            </w: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1、将净利润调节为经营活动现金流量：</w:t>
            </w:r>
          </w:p>
        </w:tc>
        <w:tc>
          <w:tcPr>
            <w:tcW w:w="1020" w:type="dxa"/>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净利润</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8</w:t>
            </w:r>
            <w:r>
              <w:rPr>
                <w:rFonts w:ascii="宋体" w:hAnsi="宋体" w:eastAsia="宋体"/>
                <w:sz w:val="18"/>
                <w:szCs w:val="18"/>
              </w:rPr>
              <w:t>7.30</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05.75</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50.60</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22.42</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86.95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加：计提的资产减值准备</w:t>
            </w:r>
          </w:p>
        </w:tc>
        <w:tc>
          <w:tcPr>
            <w:tcW w:w="1020" w:type="dxa"/>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固定资产折旧</w:t>
            </w:r>
          </w:p>
        </w:tc>
        <w:tc>
          <w:tcPr>
            <w:tcW w:w="1020" w:type="dxa"/>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.00</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.00</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.00</w:t>
            </w: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无形资产摊销</w:t>
            </w:r>
          </w:p>
        </w:tc>
        <w:tc>
          <w:tcPr>
            <w:tcW w:w="1020" w:type="dxa"/>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.50</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.50</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.50</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.50</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0</w:t>
            </w:r>
            <w:r>
              <w:rPr>
                <w:rFonts w:ascii="宋体" w:hAnsi="宋体" w:eastAsia="宋体"/>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长期待摊费用摊销</w:t>
            </w:r>
          </w:p>
        </w:tc>
        <w:tc>
          <w:tcPr>
            <w:tcW w:w="1020" w:type="dxa"/>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处置固定资产、无形资产和其他长期资产的损失（减：收益）</w:t>
            </w:r>
          </w:p>
        </w:tc>
        <w:tc>
          <w:tcPr>
            <w:tcW w:w="1020" w:type="dxa"/>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固定资产报废损失</w:t>
            </w:r>
          </w:p>
        </w:tc>
        <w:tc>
          <w:tcPr>
            <w:tcW w:w="1020" w:type="dxa"/>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公允价值变动损失（收益以“-”号填列）</w:t>
            </w:r>
          </w:p>
        </w:tc>
        <w:tc>
          <w:tcPr>
            <w:tcW w:w="1020" w:type="dxa"/>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财务费用</w:t>
            </w:r>
          </w:p>
        </w:tc>
        <w:tc>
          <w:tcPr>
            <w:tcW w:w="1020" w:type="dxa"/>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.00</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.00</w:t>
            </w: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投资损失（减：收益）</w:t>
            </w:r>
          </w:p>
        </w:tc>
        <w:tc>
          <w:tcPr>
            <w:tcW w:w="1020" w:type="dxa"/>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递延所得税资产减少（增加以“-”号填列）</w:t>
            </w:r>
          </w:p>
        </w:tc>
        <w:tc>
          <w:tcPr>
            <w:tcW w:w="1020" w:type="dxa"/>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递延所得税负债增加（减少以“-”号填列）</w:t>
            </w:r>
          </w:p>
        </w:tc>
        <w:tc>
          <w:tcPr>
            <w:tcW w:w="1020" w:type="dxa"/>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存货的减少（减：增加）</w:t>
            </w:r>
          </w:p>
        </w:tc>
        <w:tc>
          <w:tcPr>
            <w:tcW w:w="1020" w:type="dxa"/>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经营性应收项目的减少（减：增加）</w:t>
            </w:r>
          </w:p>
        </w:tc>
        <w:tc>
          <w:tcPr>
            <w:tcW w:w="1020" w:type="dxa"/>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经营性应付项目的增加（减：减少）</w:t>
            </w:r>
          </w:p>
        </w:tc>
        <w:tc>
          <w:tcPr>
            <w:tcW w:w="1020" w:type="dxa"/>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其他</w:t>
            </w:r>
          </w:p>
        </w:tc>
        <w:tc>
          <w:tcPr>
            <w:tcW w:w="1020" w:type="dxa"/>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4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经营活动产生的现金流量净额</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0.48</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6</w:t>
            </w:r>
            <w:r>
              <w:rPr>
                <w:rFonts w:ascii="宋体" w:hAnsi="宋体" w:eastAsia="宋体"/>
                <w:sz w:val="18"/>
                <w:szCs w:val="18"/>
              </w:rPr>
              <w:t>4.32</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7</w:t>
            </w:r>
            <w:r>
              <w:rPr>
                <w:rFonts w:ascii="宋体" w:hAnsi="宋体" w:eastAsia="宋体"/>
                <w:sz w:val="18"/>
                <w:szCs w:val="18"/>
              </w:rPr>
              <w:t>5.84</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39.35</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59.70</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5</w:t>
            </w:r>
            <w:r>
              <w:rPr>
                <w:rFonts w:ascii="宋体" w:hAnsi="宋体" w:eastAsia="宋体"/>
                <w:sz w:val="18"/>
                <w:szCs w:val="18"/>
              </w:rPr>
              <w:t>72.63</w:t>
            </w:r>
          </w:p>
        </w:tc>
      </w:tr>
      <w:bookmarkEnd w:id="46"/>
    </w:tbl>
    <w:p>
      <w:pPr>
        <w:spacing w:line="300" w:lineRule="auto"/>
        <w:rPr>
          <w:rFonts w:ascii="宋体" w:hAnsi="宋体" w:eastAsia="宋体"/>
          <w:b/>
          <w:bCs/>
          <w:szCs w:val="21"/>
        </w:rPr>
      </w:pPr>
    </w:p>
    <w:p>
      <w:pPr>
        <w:pStyle w:val="3"/>
        <w:rPr>
          <w:rFonts w:ascii="黑体" w:hAnsi="黑体"/>
          <w:b w:val="0"/>
          <w:bCs/>
          <w:sz w:val="24"/>
        </w:rPr>
      </w:pPr>
      <w:bookmarkStart w:id="47" w:name="_Toc132368956"/>
      <w:r>
        <w:rPr>
          <w:rFonts w:ascii="黑体" w:hAnsi="黑体"/>
          <w:b w:val="0"/>
          <w:bCs/>
          <w:sz w:val="24"/>
        </w:rPr>
        <w:t>5.4</w:t>
      </w:r>
      <w:r>
        <w:rPr>
          <w:rFonts w:hint="eastAsia" w:ascii="黑体" w:hAnsi="黑体"/>
          <w:b w:val="0"/>
          <w:bCs/>
          <w:sz w:val="24"/>
        </w:rPr>
        <w:t>资产负债表</w:t>
      </w:r>
      <w:bookmarkEnd w:id="47"/>
    </w:p>
    <w:p>
      <w:pPr>
        <w:pStyle w:val="5"/>
        <w:keepNext/>
        <w:ind w:firstLine="420"/>
        <w:rPr>
          <w:rFonts w:ascii="宋体" w:hAnsi="宋体" w:eastAsia="宋体"/>
          <w:sz w:val="21"/>
          <w:szCs w:val="21"/>
        </w:rPr>
      </w:pPr>
      <w:r>
        <w:rPr>
          <w:rFonts w:ascii="宋体" w:hAnsi="宋体" w:eastAsia="宋体"/>
          <w:sz w:val="21"/>
          <w:szCs w:val="21"/>
        </w:rPr>
        <w:t xml:space="preserve">表8-4 </w:t>
      </w:r>
      <w:r>
        <w:rPr>
          <w:rFonts w:hint="eastAsia" w:ascii="宋体" w:hAnsi="宋体" w:eastAsia="宋体"/>
          <w:sz w:val="21"/>
          <w:szCs w:val="21"/>
        </w:rPr>
        <w:t>资产负债表（单位：万元）</w:t>
      </w:r>
    </w:p>
    <w:tbl>
      <w:tblPr>
        <w:tblStyle w:val="15"/>
        <w:tblW w:w="8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1020"/>
        <w:gridCol w:w="1020"/>
        <w:gridCol w:w="1020"/>
        <w:gridCol w:w="1020"/>
        <w:gridCol w:w="1020"/>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类别</w:t>
            </w:r>
          </w:p>
        </w:tc>
        <w:tc>
          <w:tcPr>
            <w:tcW w:w="6120" w:type="dxa"/>
            <w:gridSpan w:val="6"/>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会计分期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资产</w:t>
            </w:r>
          </w:p>
        </w:tc>
        <w:tc>
          <w:tcPr>
            <w:tcW w:w="1020"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0</w:t>
            </w:r>
          </w:p>
        </w:tc>
        <w:tc>
          <w:tcPr>
            <w:tcW w:w="1020"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1</w:t>
            </w:r>
          </w:p>
        </w:tc>
        <w:tc>
          <w:tcPr>
            <w:tcW w:w="1020"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2</w:t>
            </w:r>
          </w:p>
        </w:tc>
        <w:tc>
          <w:tcPr>
            <w:tcW w:w="1020"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3</w:t>
            </w:r>
          </w:p>
        </w:tc>
        <w:tc>
          <w:tcPr>
            <w:tcW w:w="1020"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4</w:t>
            </w:r>
          </w:p>
        </w:tc>
        <w:tc>
          <w:tcPr>
            <w:tcW w:w="1020" w:type="dxa"/>
            <w:shd w:val="clear" w:color="auto" w:fill="A5A5A5" w:themeFill="accent3"/>
          </w:tcPr>
          <w:p>
            <w:pPr>
              <w:spacing w:line="300" w:lineRule="auto"/>
              <w:jc w:val="center"/>
              <w:rPr>
                <w:rFonts w:ascii="宋体" w:hAnsi="宋体" w:eastAsia="宋体"/>
                <w:sz w:val="18"/>
                <w:szCs w:val="18"/>
              </w:rPr>
            </w:pPr>
            <w:r>
              <w:rPr>
                <w:rFonts w:hint="eastAsia" w:ascii="宋体" w:hAnsi="宋体" w:eastAsia="宋体"/>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流动资产：</w:t>
            </w: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rPr>
                <w:rFonts w:ascii="宋体" w:hAnsi="宋体" w:eastAsia="宋体"/>
                <w:sz w:val="18"/>
                <w:szCs w:val="18"/>
              </w:rPr>
            </w:pPr>
            <w:r>
              <w:rPr>
                <w:rFonts w:hint="eastAsia" w:ascii="宋体" w:hAnsi="宋体" w:eastAsia="宋体"/>
                <w:sz w:val="18"/>
                <w:szCs w:val="18"/>
              </w:rPr>
              <w:t>货币资金</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0.48</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32.15</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78.44</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45.91</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6</w:t>
            </w:r>
            <w:r>
              <w:rPr>
                <w:rFonts w:ascii="宋体" w:hAnsi="宋体" w:eastAsia="宋体"/>
                <w:sz w:val="18"/>
                <w:szCs w:val="18"/>
              </w:rPr>
              <w:t>76.52</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107.67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rPr>
                <w:rFonts w:ascii="宋体" w:hAnsi="宋体" w:eastAsia="宋体"/>
                <w:sz w:val="18"/>
                <w:szCs w:val="18"/>
              </w:rPr>
            </w:pPr>
            <w:r>
              <w:rPr>
                <w:rFonts w:hint="eastAsia" w:ascii="宋体" w:hAnsi="宋体" w:eastAsia="宋体"/>
                <w:sz w:val="18"/>
                <w:szCs w:val="18"/>
              </w:rPr>
              <w:t>交易性金融资产</w:t>
            </w: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应收票据</w:t>
            </w: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应收账款</w:t>
            </w: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预付款项</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6</w:t>
            </w:r>
            <w:r>
              <w:rPr>
                <w:rFonts w:ascii="宋体" w:hAnsi="宋体" w:eastAsia="宋体"/>
                <w:sz w:val="18"/>
                <w:szCs w:val="18"/>
              </w:rPr>
              <w:t>5.52</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待摊费用</w:t>
            </w:r>
          </w:p>
        </w:tc>
        <w:tc>
          <w:tcPr>
            <w:tcW w:w="1020" w:type="dxa"/>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5.95</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9.16</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5</w:t>
            </w:r>
            <w:r>
              <w:rPr>
                <w:rFonts w:ascii="宋体" w:hAnsi="宋体" w:eastAsia="宋体"/>
                <w:sz w:val="18"/>
                <w:szCs w:val="18"/>
              </w:rPr>
              <w:t>7.19</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7</w:t>
            </w:r>
            <w:r>
              <w:rPr>
                <w:rFonts w:ascii="宋体" w:hAnsi="宋体" w:eastAsia="宋体"/>
                <w:sz w:val="18"/>
                <w:szCs w:val="18"/>
              </w:rPr>
              <w:t>1.08</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8</w:t>
            </w:r>
            <w:r>
              <w:rPr>
                <w:rFonts w:ascii="宋体" w:hAnsi="宋体" w:eastAsia="宋体"/>
                <w:sz w:val="18"/>
                <w:szCs w:val="18"/>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流动资产合计</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9</w:t>
            </w:r>
            <w:r>
              <w:rPr>
                <w:rFonts w:ascii="宋体" w:hAnsi="宋体" w:eastAsia="宋体"/>
                <w:sz w:val="18"/>
                <w:szCs w:val="18"/>
              </w:rPr>
              <w:t>6.00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68.10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27.60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03.10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7</w:t>
            </w:r>
            <w:r>
              <w:rPr>
                <w:rFonts w:ascii="宋体" w:hAnsi="宋体" w:eastAsia="宋体"/>
                <w:sz w:val="18"/>
                <w:szCs w:val="18"/>
              </w:rPr>
              <w:t>47.60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189.10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非流动资产：</w:t>
            </w: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投资性房地产</w:t>
            </w: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固定资产</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.00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.00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.00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.00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减：累计折旧</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.00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.00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固定资产净值</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.00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.00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生产性生物资产</w:t>
            </w: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无形资产</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.40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.90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.40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.90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.40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商誉</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长期待摊费用</w:t>
            </w:r>
          </w:p>
        </w:tc>
        <w:tc>
          <w:tcPr>
            <w:tcW w:w="1020" w:type="dxa"/>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递延所得税资产</w:t>
            </w:r>
          </w:p>
        </w:tc>
        <w:tc>
          <w:tcPr>
            <w:tcW w:w="1020" w:type="dxa"/>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其他非流动资产</w:t>
            </w: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c>
          <w:tcPr>
            <w:tcW w:w="1020" w:type="dxa"/>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非流动资产合计</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7</w:t>
            </w:r>
            <w:r>
              <w:rPr>
                <w:rFonts w:ascii="宋体" w:hAnsi="宋体" w:eastAsia="宋体"/>
                <w:sz w:val="18"/>
                <w:szCs w:val="18"/>
              </w:rPr>
              <w:t>.40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5</w:t>
            </w:r>
            <w:r>
              <w:rPr>
                <w:rFonts w:ascii="宋体" w:hAnsi="宋体" w:eastAsia="宋体"/>
                <w:sz w:val="18"/>
                <w:szCs w:val="18"/>
              </w:rPr>
              <w:t>.90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.40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.90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.40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bookmarkStart w:id="48" w:name="_Hlk132323496"/>
            <w:r>
              <w:rPr>
                <w:rFonts w:hint="eastAsia" w:ascii="宋体" w:hAnsi="宋体" w:eastAsia="宋体"/>
                <w:sz w:val="18"/>
                <w:szCs w:val="18"/>
              </w:rPr>
              <w:t>资产总计</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00.00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74.00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32.00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06.00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7</w:t>
            </w:r>
            <w:r>
              <w:rPr>
                <w:rFonts w:ascii="宋体" w:hAnsi="宋体" w:eastAsia="宋体"/>
                <w:sz w:val="18"/>
                <w:szCs w:val="18"/>
              </w:rPr>
              <w:t>50.00</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191.00</w:t>
            </w:r>
          </w:p>
        </w:tc>
      </w:tr>
      <w:bookmarkEnd w:id="4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负债和所有者权益（或股东权益）</w:t>
            </w: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流动负债：</w:t>
            </w: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流动负债合计</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非流动负债：</w:t>
            </w: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其他非流动负债</w:t>
            </w:r>
          </w:p>
        </w:tc>
        <w:tc>
          <w:tcPr>
            <w:tcW w:w="1020" w:type="dxa"/>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c>
          <w:tcPr>
            <w:tcW w:w="1020" w:type="dxa"/>
            <w:shd w:val="clear" w:color="auto" w:fill="auto"/>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非流动负债合计</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负债合计</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所有者权益（或股东权益）</w:t>
            </w: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c>
          <w:tcPr>
            <w:tcW w:w="1020" w:type="dxa"/>
            <w:shd w:val="clear" w:color="auto" w:fill="A5A5A5" w:themeFill="accent3"/>
            <w:vAlign w:val="bottom"/>
          </w:tcPr>
          <w:p>
            <w:pPr>
              <w:spacing w:line="300" w:lineRule="auto"/>
              <w:jc w:val="righ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实收资本（或股本）</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00.00</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8</w:t>
            </w:r>
            <w:r>
              <w:rPr>
                <w:rFonts w:ascii="宋体" w:hAnsi="宋体" w:eastAsia="宋体"/>
                <w:sz w:val="18"/>
                <w:szCs w:val="18"/>
              </w:rPr>
              <w:t>6.70</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26.25</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55.40</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27.58</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7</w:t>
            </w:r>
            <w:r>
              <w:rPr>
                <w:rFonts w:ascii="宋体" w:hAnsi="宋体" w:eastAsia="宋体"/>
                <w:sz w:val="18"/>
                <w:szCs w:val="18"/>
              </w:rPr>
              <w:t>04.68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资本公积</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8</w:t>
            </w:r>
            <w:r>
              <w:rPr>
                <w:rFonts w:ascii="宋体" w:hAnsi="宋体" w:eastAsia="宋体"/>
                <w:sz w:val="18"/>
                <w:szCs w:val="18"/>
              </w:rPr>
              <w:t>.73</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0.58</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5.06</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2.24</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减：库存股</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专项储备</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盈余公积</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3.10</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5.86</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2.59</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8.36</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7</w:t>
            </w:r>
            <w:r>
              <w:rPr>
                <w:rFonts w:ascii="宋体" w:hAnsi="宋体" w:eastAsia="宋体"/>
                <w:sz w:val="18"/>
                <w:szCs w:val="18"/>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未分配利润</w:t>
            </w:r>
          </w:p>
        </w:tc>
        <w:tc>
          <w:tcPr>
            <w:tcW w:w="1020" w:type="dxa"/>
            <w:vAlign w:val="bottom"/>
          </w:tcPr>
          <w:p>
            <w:pPr>
              <w:spacing w:line="300" w:lineRule="auto"/>
              <w:jc w:val="right"/>
              <w:rPr>
                <w:rFonts w:ascii="宋体" w:hAnsi="宋体" w:eastAsia="宋体"/>
                <w:sz w:val="18"/>
                <w:szCs w:val="18"/>
              </w:rPr>
            </w:pPr>
            <w:r>
              <w:rPr>
                <w:rFonts w:hint="eastAsia" w:ascii="宋体" w:hAnsi="宋体" w:eastAsia="宋体"/>
                <w:sz w:val="18"/>
                <w:szCs w:val="18"/>
              </w:rPr>
              <w:t>-</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6</w:t>
            </w:r>
            <w:r>
              <w:rPr>
                <w:rFonts w:ascii="宋体" w:hAnsi="宋体" w:eastAsia="宋体"/>
                <w:sz w:val="18"/>
                <w:szCs w:val="18"/>
              </w:rPr>
              <w:t>5.47</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7</w:t>
            </w:r>
            <w:r>
              <w:rPr>
                <w:rFonts w:ascii="宋体" w:hAnsi="宋体" w:eastAsia="宋体"/>
                <w:sz w:val="18"/>
                <w:szCs w:val="18"/>
              </w:rPr>
              <w:t>9.31</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12.95</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41.82</w:t>
            </w:r>
          </w:p>
        </w:tc>
        <w:tc>
          <w:tcPr>
            <w:tcW w:w="1020" w:type="dxa"/>
            <w:shd w:val="clear" w:color="auto" w:fill="auto"/>
            <w:vAlign w:val="bottom"/>
          </w:tcPr>
          <w:p>
            <w:pPr>
              <w:spacing w:line="300" w:lineRule="auto"/>
              <w:jc w:val="right"/>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65.21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所有者权益（或股东权益）合计</w:t>
            </w:r>
          </w:p>
        </w:tc>
        <w:tc>
          <w:tcPr>
            <w:tcW w:w="1020" w:type="dxa"/>
            <w:vAlign w:val="bottom"/>
          </w:tcPr>
          <w:p>
            <w:pPr>
              <w:spacing w:line="300" w:lineRule="auto"/>
              <w:jc w:val="right"/>
              <w:rPr>
                <w:rFonts w:ascii="宋体" w:hAnsi="宋体" w:eastAsia="宋体"/>
                <w:sz w:val="18"/>
                <w:szCs w:val="18"/>
              </w:rPr>
            </w:pPr>
            <w:r>
              <w:rPr>
                <w:rFonts w:ascii="宋体" w:hAnsi="宋体" w:eastAsia="宋体"/>
                <w:sz w:val="18"/>
                <w:szCs w:val="18"/>
              </w:rPr>
              <w:t>100.00</w:t>
            </w:r>
          </w:p>
        </w:tc>
        <w:tc>
          <w:tcPr>
            <w:tcW w:w="1020" w:type="dxa"/>
            <w:shd w:val="clear" w:color="auto" w:fill="auto"/>
            <w:vAlign w:val="bottom"/>
          </w:tcPr>
          <w:p>
            <w:pPr>
              <w:spacing w:line="300" w:lineRule="auto"/>
              <w:jc w:val="right"/>
              <w:rPr>
                <w:rFonts w:ascii="宋体" w:hAnsi="宋体" w:eastAsia="宋体"/>
                <w:sz w:val="18"/>
                <w:szCs w:val="18"/>
              </w:rPr>
            </w:pPr>
            <w:r>
              <w:rPr>
                <w:rFonts w:ascii="宋体" w:hAnsi="宋体" w:eastAsia="宋体"/>
                <w:sz w:val="18"/>
                <w:szCs w:val="18"/>
              </w:rPr>
              <w:t>174.00</w:t>
            </w:r>
          </w:p>
        </w:tc>
        <w:tc>
          <w:tcPr>
            <w:tcW w:w="1020" w:type="dxa"/>
            <w:shd w:val="clear" w:color="auto" w:fill="auto"/>
            <w:vAlign w:val="bottom"/>
          </w:tcPr>
          <w:p>
            <w:pPr>
              <w:spacing w:line="300" w:lineRule="auto"/>
              <w:jc w:val="right"/>
              <w:rPr>
                <w:rFonts w:ascii="宋体" w:hAnsi="宋体" w:eastAsia="宋体"/>
                <w:sz w:val="18"/>
                <w:szCs w:val="18"/>
              </w:rPr>
            </w:pPr>
            <w:r>
              <w:rPr>
                <w:rFonts w:ascii="宋体" w:hAnsi="宋体" w:eastAsia="宋体"/>
                <w:sz w:val="18"/>
                <w:szCs w:val="18"/>
              </w:rPr>
              <w:t>232.00</w:t>
            </w:r>
          </w:p>
        </w:tc>
        <w:tc>
          <w:tcPr>
            <w:tcW w:w="1020" w:type="dxa"/>
            <w:shd w:val="clear" w:color="auto" w:fill="auto"/>
            <w:vAlign w:val="bottom"/>
          </w:tcPr>
          <w:p>
            <w:pPr>
              <w:spacing w:line="300" w:lineRule="auto"/>
              <w:jc w:val="right"/>
              <w:rPr>
                <w:rFonts w:ascii="宋体" w:hAnsi="宋体" w:eastAsia="宋体"/>
                <w:sz w:val="18"/>
                <w:szCs w:val="18"/>
              </w:rPr>
            </w:pPr>
            <w:r>
              <w:rPr>
                <w:rFonts w:ascii="宋体" w:hAnsi="宋体" w:eastAsia="宋体"/>
                <w:sz w:val="18"/>
                <w:szCs w:val="18"/>
              </w:rPr>
              <w:t>406.00</w:t>
            </w:r>
          </w:p>
        </w:tc>
        <w:tc>
          <w:tcPr>
            <w:tcW w:w="1020" w:type="dxa"/>
            <w:shd w:val="clear" w:color="auto" w:fill="auto"/>
            <w:vAlign w:val="bottom"/>
          </w:tcPr>
          <w:p>
            <w:pPr>
              <w:spacing w:line="300" w:lineRule="auto"/>
              <w:jc w:val="right"/>
              <w:rPr>
                <w:rFonts w:ascii="宋体" w:hAnsi="宋体" w:eastAsia="宋体"/>
                <w:sz w:val="18"/>
                <w:szCs w:val="18"/>
              </w:rPr>
            </w:pPr>
            <w:r>
              <w:rPr>
                <w:rFonts w:ascii="宋体" w:hAnsi="宋体" w:eastAsia="宋体"/>
                <w:sz w:val="18"/>
                <w:szCs w:val="18"/>
              </w:rPr>
              <w:t>750.00</w:t>
            </w:r>
          </w:p>
        </w:tc>
        <w:tc>
          <w:tcPr>
            <w:tcW w:w="1020" w:type="dxa"/>
            <w:shd w:val="clear" w:color="auto" w:fill="auto"/>
            <w:vAlign w:val="bottom"/>
          </w:tcPr>
          <w:p>
            <w:pPr>
              <w:spacing w:line="300" w:lineRule="auto"/>
              <w:jc w:val="right"/>
              <w:rPr>
                <w:rFonts w:ascii="宋体" w:hAnsi="宋体" w:eastAsia="宋体"/>
                <w:sz w:val="18"/>
                <w:szCs w:val="18"/>
              </w:rPr>
            </w:pPr>
            <w:r>
              <w:rPr>
                <w:rFonts w:ascii="宋体" w:hAnsi="宋体" w:eastAsia="宋体"/>
                <w:sz w:val="18"/>
                <w:szCs w:val="18"/>
              </w:rPr>
              <w:t>1191.00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shd w:val="clear" w:color="auto" w:fill="A5A5A5" w:themeFill="accent3"/>
          </w:tcPr>
          <w:p>
            <w:pPr>
              <w:spacing w:line="300" w:lineRule="auto"/>
              <w:jc w:val="left"/>
              <w:rPr>
                <w:rFonts w:ascii="宋体" w:hAnsi="宋体" w:eastAsia="宋体"/>
                <w:sz w:val="18"/>
                <w:szCs w:val="18"/>
              </w:rPr>
            </w:pPr>
            <w:r>
              <w:rPr>
                <w:rFonts w:hint="eastAsia" w:ascii="宋体" w:hAnsi="宋体" w:eastAsia="宋体"/>
                <w:sz w:val="18"/>
                <w:szCs w:val="18"/>
              </w:rPr>
              <w:t>负债和所有者权益（或股东权益）合计</w:t>
            </w:r>
          </w:p>
        </w:tc>
        <w:tc>
          <w:tcPr>
            <w:tcW w:w="1020" w:type="dxa"/>
            <w:vAlign w:val="bottom"/>
          </w:tcPr>
          <w:p>
            <w:pPr>
              <w:spacing w:line="300" w:lineRule="auto"/>
              <w:jc w:val="right"/>
              <w:rPr>
                <w:rFonts w:ascii="宋体" w:hAnsi="宋体" w:eastAsia="宋体"/>
                <w:sz w:val="18"/>
                <w:szCs w:val="18"/>
              </w:rPr>
            </w:pPr>
            <w:r>
              <w:rPr>
                <w:rFonts w:ascii="宋体" w:hAnsi="宋体" w:eastAsia="宋体"/>
                <w:sz w:val="18"/>
                <w:szCs w:val="18"/>
              </w:rPr>
              <w:t>100.00</w:t>
            </w:r>
          </w:p>
        </w:tc>
        <w:tc>
          <w:tcPr>
            <w:tcW w:w="1020" w:type="dxa"/>
            <w:shd w:val="clear" w:color="auto" w:fill="auto"/>
            <w:vAlign w:val="bottom"/>
          </w:tcPr>
          <w:p>
            <w:pPr>
              <w:spacing w:line="300" w:lineRule="auto"/>
              <w:jc w:val="right"/>
              <w:rPr>
                <w:rFonts w:ascii="宋体" w:hAnsi="宋体" w:eastAsia="宋体"/>
                <w:sz w:val="18"/>
                <w:szCs w:val="18"/>
              </w:rPr>
            </w:pPr>
            <w:r>
              <w:rPr>
                <w:rFonts w:ascii="宋体" w:hAnsi="宋体" w:eastAsia="宋体"/>
                <w:sz w:val="18"/>
                <w:szCs w:val="18"/>
              </w:rPr>
              <w:t>174.00</w:t>
            </w:r>
          </w:p>
        </w:tc>
        <w:tc>
          <w:tcPr>
            <w:tcW w:w="1020" w:type="dxa"/>
            <w:shd w:val="clear" w:color="auto" w:fill="auto"/>
            <w:vAlign w:val="bottom"/>
          </w:tcPr>
          <w:p>
            <w:pPr>
              <w:spacing w:line="300" w:lineRule="auto"/>
              <w:jc w:val="right"/>
              <w:rPr>
                <w:rFonts w:ascii="宋体" w:hAnsi="宋体" w:eastAsia="宋体"/>
                <w:sz w:val="18"/>
                <w:szCs w:val="18"/>
              </w:rPr>
            </w:pPr>
            <w:r>
              <w:rPr>
                <w:rFonts w:ascii="宋体" w:hAnsi="宋体" w:eastAsia="宋体"/>
                <w:sz w:val="18"/>
                <w:szCs w:val="18"/>
              </w:rPr>
              <w:t>232.00</w:t>
            </w:r>
          </w:p>
        </w:tc>
        <w:tc>
          <w:tcPr>
            <w:tcW w:w="1020" w:type="dxa"/>
            <w:shd w:val="clear" w:color="auto" w:fill="auto"/>
            <w:vAlign w:val="bottom"/>
          </w:tcPr>
          <w:p>
            <w:pPr>
              <w:spacing w:line="300" w:lineRule="auto"/>
              <w:jc w:val="right"/>
              <w:rPr>
                <w:rFonts w:ascii="宋体" w:hAnsi="宋体" w:eastAsia="宋体"/>
                <w:sz w:val="18"/>
                <w:szCs w:val="18"/>
              </w:rPr>
            </w:pPr>
            <w:r>
              <w:rPr>
                <w:rFonts w:ascii="宋体" w:hAnsi="宋体" w:eastAsia="宋体"/>
                <w:sz w:val="18"/>
                <w:szCs w:val="18"/>
              </w:rPr>
              <w:t>406.00</w:t>
            </w:r>
          </w:p>
        </w:tc>
        <w:tc>
          <w:tcPr>
            <w:tcW w:w="1020" w:type="dxa"/>
            <w:shd w:val="clear" w:color="auto" w:fill="auto"/>
            <w:vAlign w:val="bottom"/>
          </w:tcPr>
          <w:p>
            <w:pPr>
              <w:spacing w:line="300" w:lineRule="auto"/>
              <w:jc w:val="right"/>
              <w:rPr>
                <w:rFonts w:ascii="宋体" w:hAnsi="宋体" w:eastAsia="宋体"/>
                <w:sz w:val="18"/>
                <w:szCs w:val="18"/>
              </w:rPr>
            </w:pPr>
            <w:r>
              <w:rPr>
                <w:rFonts w:ascii="宋体" w:hAnsi="宋体" w:eastAsia="宋体"/>
                <w:sz w:val="18"/>
                <w:szCs w:val="18"/>
              </w:rPr>
              <w:t>750.00</w:t>
            </w:r>
          </w:p>
        </w:tc>
        <w:tc>
          <w:tcPr>
            <w:tcW w:w="1020" w:type="dxa"/>
            <w:shd w:val="clear" w:color="auto" w:fill="auto"/>
            <w:vAlign w:val="bottom"/>
          </w:tcPr>
          <w:p>
            <w:pPr>
              <w:spacing w:line="300" w:lineRule="auto"/>
              <w:jc w:val="right"/>
              <w:rPr>
                <w:rFonts w:ascii="宋体" w:hAnsi="宋体" w:eastAsia="宋体"/>
                <w:sz w:val="18"/>
                <w:szCs w:val="18"/>
              </w:rPr>
            </w:pPr>
            <w:r>
              <w:rPr>
                <w:rFonts w:ascii="宋体" w:hAnsi="宋体" w:eastAsia="宋体"/>
                <w:sz w:val="18"/>
                <w:szCs w:val="18"/>
              </w:rPr>
              <w:t>1191.00</w:t>
            </w:r>
          </w:p>
        </w:tc>
      </w:tr>
    </w:tbl>
    <w:p>
      <w:pPr>
        <w:spacing w:line="300" w:lineRule="auto"/>
        <w:ind w:firstLine="420" w:firstLineChars="200"/>
        <w:rPr>
          <w:rFonts w:ascii="宋体" w:hAnsi="宋体" w:eastAsia="宋体"/>
          <w:szCs w:val="21"/>
        </w:rPr>
      </w:pPr>
      <w:r>
        <w:rPr>
          <w:rFonts w:hint="eastAsia" w:ascii="宋体" w:hAnsi="宋体" w:eastAsia="宋体"/>
          <w:szCs w:val="21"/>
        </w:rPr>
        <w:t>关于资产负债表的补充说明：</w:t>
      </w:r>
    </w:p>
    <w:p>
      <w:pPr>
        <w:spacing w:line="300" w:lineRule="auto"/>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1）公司采用订单式生产，</w:t>
      </w:r>
      <w:r>
        <w:rPr>
          <w:rFonts w:hint="eastAsia" w:ascii="宋体" w:hAnsi="宋体" w:eastAsia="宋体"/>
          <w:szCs w:val="21"/>
        </w:rPr>
        <w:t>期末结算时当期采购产品视同全部销售形成主营业务收入，因而当期存货余额为</w:t>
      </w:r>
      <w:r>
        <w:rPr>
          <w:rFonts w:ascii="宋体" w:hAnsi="宋体" w:eastAsia="宋体"/>
          <w:szCs w:val="21"/>
        </w:rPr>
        <w:t xml:space="preserve"> 0。</w:t>
      </w:r>
    </w:p>
    <w:p>
      <w:pPr>
        <w:spacing w:line="300" w:lineRule="auto"/>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2）为控制财务风险，</w:t>
      </w:r>
      <w:r>
        <w:rPr>
          <w:rFonts w:hint="eastAsia" w:ascii="宋体" w:hAnsi="宋体" w:eastAsia="宋体"/>
          <w:szCs w:val="21"/>
        </w:rPr>
        <w:t>本公司</w:t>
      </w:r>
      <w:r>
        <w:rPr>
          <w:rFonts w:ascii="宋体" w:hAnsi="宋体" w:eastAsia="宋体"/>
          <w:szCs w:val="21"/>
        </w:rPr>
        <w:t>在资本运作时，除注册资本</w:t>
      </w:r>
      <w:r>
        <w:rPr>
          <w:rFonts w:hint="eastAsia" w:ascii="宋体" w:hAnsi="宋体" w:eastAsia="宋体"/>
          <w:szCs w:val="21"/>
        </w:rPr>
        <w:t>及今后运营形成的未分配利润外，不再向第三方进行贷款，因而表中负债为</w:t>
      </w:r>
      <w:r>
        <w:rPr>
          <w:rFonts w:ascii="宋体" w:hAnsi="宋体" w:eastAsia="宋体"/>
          <w:szCs w:val="21"/>
        </w:rPr>
        <w:t>0。</w:t>
      </w:r>
    </w:p>
    <w:p>
      <w:pPr>
        <w:spacing w:line="300" w:lineRule="auto"/>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3）基于</w:t>
      </w:r>
      <w:r>
        <w:rPr>
          <w:rFonts w:hint="eastAsia" w:ascii="宋体" w:hAnsi="宋体" w:eastAsia="宋体"/>
          <w:szCs w:val="21"/>
        </w:rPr>
        <w:t>预先设定的</w:t>
      </w:r>
      <w:r>
        <w:rPr>
          <w:rFonts w:ascii="宋体" w:hAnsi="宋体" w:eastAsia="宋体"/>
          <w:szCs w:val="21"/>
        </w:rPr>
        <w:t>会计预测基本假设，资产负债表中没有发生的事项在本表</w:t>
      </w:r>
      <w:r>
        <w:rPr>
          <w:rFonts w:hint="eastAsia" w:ascii="宋体" w:hAnsi="宋体" w:eastAsia="宋体"/>
          <w:szCs w:val="21"/>
        </w:rPr>
        <w:t>中没有给与列支。</w:t>
      </w:r>
    </w:p>
    <w:p>
      <w:pPr>
        <w:pStyle w:val="3"/>
        <w:rPr>
          <w:rFonts w:ascii="黑体" w:hAnsi="黑体"/>
          <w:b w:val="0"/>
          <w:bCs/>
          <w:sz w:val="24"/>
        </w:rPr>
      </w:pPr>
      <w:bookmarkStart w:id="49" w:name="_Toc132368957"/>
      <w:r>
        <w:rPr>
          <w:rFonts w:ascii="黑体" w:hAnsi="黑体"/>
          <w:b w:val="0"/>
          <w:bCs/>
          <w:sz w:val="24"/>
        </w:rPr>
        <w:t>5.5</w:t>
      </w:r>
      <w:r>
        <w:rPr>
          <w:rFonts w:hint="eastAsia" w:ascii="黑体" w:hAnsi="黑体"/>
          <w:b w:val="0"/>
          <w:bCs/>
          <w:sz w:val="24"/>
        </w:rPr>
        <w:t>财务分析</w:t>
      </w:r>
      <w:bookmarkEnd w:id="49"/>
    </w:p>
    <w:p>
      <w:pPr>
        <w:spacing w:line="300" w:lineRule="auto"/>
        <w:ind w:firstLine="420" w:firstLineChars="200"/>
        <w:rPr>
          <w:rFonts w:ascii="宋体" w:hAnsi="宋体" w:eastAsia="宋体"/>
        </w:rPr>
      </w:pPr>
      <w:r>
        <w:rPr>
          <w:rFonts w:hint="eastAsia" w:ascii="宋体" w:hAnsi="宋体" w:eastAsia="宋体"/>
        </w:rPr>
        <w:t>从行业发展前景来看，本公司主要生产医疗器械产品，属于医疗行业。中国作为世界第二大医疗市场，医疗创新行业正在飞速发展，不断追赶欧美高新技术产业，以低创新成本建立创新优势。随着我国经济增长，市场对于医疗器械的需求不断增加，存在巨大行业潜力。从科研创新能力方面来看，本公司研发人员均为天津大学在读大学生，不断钻研改进技术，对生产产品持续进行改良与创新，具有很强的行业竞争力。</w:t>
      </w:r>
    </w:p>
    <w:p>
      <w:pPr>
        <w:spacing w:line="300" w:lineRule="auto"/>
        <w:ind w:firstLine="420" w:firstLineChars="200"/>
        <w:rPr>
          <w:rFonts w:ascii="宋体" w:hAnsi="宋体" w:eastAsia="宋体"/>
        </w:rPr>
      </w:pPr>
      <w:r>
        <w:rPr>
          <w:rFonts w:hint="eastAsia" w:ascii="宋体" w:hAnsi="宋体" w:eastAsia="宋体"/>
        </w:rPr>
        <w:t>本公司处于发展初期阶段，为实现规模化与商业化，在财务运营方面最大程度规避财务风险，并对公司各项成本费用进行严格控制。参考国内外相关企业成功案例，对公司人员结构、成本配置等进行灵活调控。在关注公司利润表的同时，兼顾现金流量状况，保障公司现金流平稳健康增长，以最快速度实现资本回收。在财务绩效高速增长的同时，不断扩大公司规模，吸引投资。由上述资产负债表、利润表以及现金流量表分析可得，本公司在未来五年具有较强的盈利能力，并且具有持续增长的趋势。</w:t>
      </w:r>
    </w:p>
    <w:p>
      <w:pPr>
        <w:spacing w:line="300" w:lineRule="auto"/>
        <w:ind w:firstLine="420" w:firstLineChars="200"/>
        <w:rPr>
          <w:rFonts w:ascii="宋体" w:hAnsi="宋体" w:eastAsia="宋体"/>
        </w:rPr>
      </w:pPr>
      <w:r>
        <w:rPr>
          <w:rFonts w:hint="eastAsia" w:ascii="宋体" w:hAnsi="宋体" w:eastAsia="宋体"/>
        </w:rPr>
        <w:t>由于编制资产负债表、利润表以及现金流量表时忽略了银行利率变动、人为因素及不可控因素、在生产销售过程中可能存在的存货以及资金的时间价值等因素的影响，公司实际财务状况与试算表存在一定差异。根据会计核算的谨慎性原则与可比性原则，在尽量符合实际经营情况的基础上，对于将会发生变动的费用，如价格浮动、采购成本变化等，在第一年财务状况的基础上，进行适当缓冲准备分摊在各期费用发生额中，但并未体现在具体的财务报表中。</w:t>
      </w:r>
    </w:p>
    <w:p>
      <w:pPr>
        <w:spacing w:line="300" w:lineRule="auto"/>
        <w:ind w:firstLine="420" w:firstLineChars="200"/>
        <w:rPr>
          <w:rFonts w:ascii="宋体" w:hAnsi="宋体" w:eastAsia="宋体"/>
        </w:rPr>
      </w:pPr>
      <w:r>
        <w:rPr>
          <w:rFonts w:hint="eastAsia" w:ascii="宋体" w:hAnsi="宋体" w:eastAsia="宋体"/>
        </w:rPr>
        <w:t>综合以上融资分析与财务预算，可直观观测到本项目有着良好的发展前景与强大的竞争力，在未来五年内，预期营业利润将持续稳定增长，具有较高的投资收益率。因而可认为本项目为风险较低且预期收益较高的优质项目，极具投资价值。</w:t>
      </w:r>
    </w:p>
    <w:p>
      <w:pPr>
        <w:tabs>
          <w:tab w:val="left" w:pos="312"/>
        </w:tabs>
        <w:rPr>
          <w:rFonts w:ascii="宋体" w:hAnsi="宋体" w:eastAsia="宋体"/>
          <w:sz w:val="24"/>
        </w:rPr>
      </w:pPr>
    </w:p>
    <w:p>
      <w:pPr>
        <w:pStyle w:val="2"/>
        <w:rPr>
          <w:rFonts w:ascii="黑体" w:hAnsi="黑体" w:eastAsia="黑体"/>
          <w:sz w:val="28"/>
          <w:szCs w:val="36"/>
        </w:rPr>
      </w:pPr>
      <w:bookmarkStart w:id="50" w:name="_Toc132368958"/>
      <w:r>
        <w:rPr>
          <w:rFonts w:hint="eastAsia" w:ascii="黑体" w:hAnsi="黑体" w:eastAsia="黑体"/>
          <w:sz w:val="28"/>
          <w:szCs w:val="36"/>
        </w:rPr>
        <w:t>6</w:t>
      </w:r>
      <w:r>
        <w:rPr>
          <w:rFonts w:ascii="黑体" w:hAnsi="黑体" w:eastAsia="黑体"/>
          <w:sz w:val="28"/>
          <w:szCs w:val="36"/>
        </w:rPr>
        <w:t xml:space="preserve"> </w:t>
      </w:r>
      <w:r>
        <w:rPr>
          <w:rFonts w:hint="eastAsia" w:ascii="黑体" w:hAnsi="黑体" w:eastAsia="黑体"/>
          <w:sz w:val="28"/>
          <w:szCs w:val="36"/>
        </w:rPr>
        <w:t>关键风险与应对策略</w:t>
      </w:r>
      <w:bookmarkEnd w:id="50"/>
    </w:p>
    <w:p>
      <w:pPr>
        <w:pStyle w:val="3"/>
        <w:rPr>
          <w:rFonts w:ascii="黑体" w:hAnsi="黑体" w:cs="宋体"/>
          <w:b w:val="0"/>
          <w:color w:val="000000"/>
          <w:kern w:val="0"/>
          <w:sz w:val="24"/>
          <w:lang w:bidi="ar"/>
        </w:rPr>
      </w:pPr>
      <w:bookmarkStart w:id="51" w:name="_Toc132368959"/>
      <w:r>
        <w:rPr>
          <w:rFonts w:ascii="黑体" w:hAnsi="黑体" w:cs="宋体"/>
          <w:b w:val="0"/>
          <w:color w:val="000000"/>
          <w:kern w:val="0"/>
          <w:sz w:val="24"/>
          <w:lang w:bidi="ar"/>
        </w:rPr>
        <w:t>6</w:t>
      </w:r>
      <w:r>
        <w:rPr>
          <w:rFonts w:hint="eastAsia" w:ascii="黑体" w:hAnsi="黑体" w:cs="宋体"/>
          <w:b w:val="0"/>
          <w:color w:val="000000"/>
          <w:kern w:val="0"/>
          <w:sz w:val="24"/>
          <w:lang w:bidi="ar"/>
        </w:rPr>
        <w:t>.1风险评估概述</w:t>
      </w:r>
      <w:bookmarkEnd w:id="51"/>
    </w:p>
    <w:p>
      <w:pPr>
        <w:widowControl/>
        <w:jc w:val="left"/>
        <w:rPr>
          <w:rFonts w:ascii="宋体" w:hAnsi="宋体" w:eastAsia="宋体" w:cs="宋体"/>
          <w:b/>
          <w:color w:val="000000"/>
          <w:kern w:val="0"/>
          <w:sz w:val="24"/>
          <w:lang w:bidi="ar"/>
        </w:rPr>
      </w:pPr>
    </w:p>
    <w:p>
      <w:pPr>
        <w:widowControl/>
        <w:ind w:firstLine="480" w:firstLineChars="200"/>
        <w:jc w:val="left"/>
        <w:rPr>
          <w:rFonts w:ascii="宋体" w:hAnsi="宋体" w:eastAsia="宋体" w:cs="宋体"/>
          <w:bCs/>
          <w:color w:val="000000"/>
          <w:kern w:val="0"/>
          <w:sz w:val="24"/>
          <w:lang w:bidi="ar"/>
        </w:rPr>
      </w:pPr>
      <w:r>
        <w:rPr>
          <w:rFonts w:hint="eastAsia" w:ascii="宋体" w:hAnsi="宋体" w:eastAsia="宋体" w:cs="宋体"/>
          <w:bCs/>
          <w:color w:val="000000"/>
          <w:kern w:val="0"/>
          <w:sz w:val="24"/>
          <w:lang w:bidi="ar"/>
        </w:rPr>
        <w:t>风险评估，指的是通过运用科学的方法，对已掌握的统计资料、风险信息、风险性质等进行系统的分析，得到各类型风险的风险度，进而为风险前的防范和风险后的控制提供依据。科学方法具体指知识分析、模型分析、定性分析、定量分析等。</w:t>
      </w:r>
    </w:p>
    <w:p>
      <w:pPr>
        <w:widowControl/>
        <w:ind w:firstLine="480" w:firstLineChars="200"/>
        <w:jc w:val="left"/>
        <w:rPr>
          <w:rFonts w:ascii="宋体" w:hAnsi="宋体" w:eastAsia="宋体" w:cs="宋体"/>
          <w:bCs/>
          <w:color w:val="000000"/>
          <w:kern w:val="0"/>
          <w:sz w:val="24"/>
          <w:lang w:bidi="ar"/>
        </w:rPr>
      </w:pPr>
      <w:r>
        <w:rPr>
          <w:rFonts w:hint="eastAsia" w:ascii="宋体" w:hAnsi="宋体" w:eastAsia="宋体" w:cs="宋体"/>
          <w:bCs/>
          <w:color w:val="000000"/>
          <w:kern w:val="0"/>
          <w:sz w:val="24"/>
          <w:lang w:bidi="ar"/>
        </w:rPr>
        <w:t>对于创业活动，风险评估的重要性毋庸置疑。一方面，风险评估对可能发生的风险进行预警，在一定程度上为创业活动的顺利进行提供支持；另一方面，在风险发生后，风险评估针对不同等级风险制定的应急计划可以让风险得到控制，降低其对创业活动的损害程度。</w:t>
      </w:r>
    </w:p>
    <w:p>
      <w:pPr>
        <w:widowControl/>
        <w:ind w:firstLine="480" w:firstLineChars="200"/>
        <w:jc w:val="left"/>
        <w:rPr>
          <w:rFonts w:ascii="宋体" w:hAnsi="宋体" w:eastAsia="宋体" w:cs="宋体"/>
          <w:bCs/>
          <w:color w:val="000000"/>
          <w:kern w:val="0"/>
          <w:sz w:val="24"/>
          <w:lang w:bidi="ar"/>
        </w:rPr>
      </w:pPr>
    </w:p>
    <w:p>
      <w:pPr>
        <w:pStyle w:val="3"/>
        <w:rPr>
          <w:rFonts w:ascii="黑体" w:hAnsi="黑体" w:cstheme="minorEastAsia"/>
          <w:b w:val="0"/>
          <w:color w:val="000000"/>
          <w:kern w:val="0"/>
          <w:sz w:val="24"/>
          <w:lang w:bidi="ar"/>
        </w:rPr>
      </w:pPr>
      <w:bookmarkStart w:id="52" w:name="_Toc132368960"/>
      <w:r>
        <w:rPr>
          <w:rFonts w:ascii="黑体" w:hAnsi="黑体" w:cstheme="minorEastAsia"/>
          <w:b w:val="0"/>
          <w:color w:val="000000"/>
          <w:kern w:val="0"/>
          <w:sz w:val="24"/>
          <w:lang w:bidi="ar"/>
        </w:rPr>
        <w:t>6</w:t>
      </w:r>
      <w:r>
        <w:rPr>
          <w:rFonts w:hint="eastAsia" w:ascii="黑体" w:hAnsi="黑体" w:cstheme="minorEastAsia"/>
          <w:b w:val="0"/>
          <w:color w:val="000000"/>
          <w:kern w:val="0"/>
          <w:sz w:val="24"/>
          <w:lang w:bidi="ar"/>
        </w:rPr>
        <w:t>.2 项目风险概述及划分标准</w:t>
      </w:r>
      <w:bookmarkEnd w:id="52"/>
    </w:p>
    <w:p>
      <w:pPr>
        <w:widowControl/>
        <w:jc w:val="left"/>
        <w:rPr>
          <w:rFonts w:asciiTheme="minorEastAsia" w:hAnsiTheme="minorEastAsia" w:cstheme="minorEastAsia"/>
          <w:b/>
          <w:color w:val="000000"/>
          <w:kern w:val="0"/>
          <w:sz w:val="24"/>
          <w:lang w:bidi="ar"/>
        </w:rPr>
      </w:pPr>
    </w:p>
    <w:p>
      <w:pPr>
        <w:widowControl/>
        <w:ind w:firstLine="420"/>
        <w:jc w:val="left"/>
        <w:rPr>
          <w:rFonts w:asciiTheme="minorEastAsia" w:hAnsiTheme="minorEastAsia" w:cstheme="minorEastAsia"/>
          <w:bCs/>
          <w:color w:val="000000"/>
          <w:kern w:val="0"/>
          <w:sz w:val="24"/>
          <w:lang w:bidi="ar"/>
        </w:rPr>
      </w:pPr>
      <w:r>
        <w:rPr>
          <w:rFonts w:hint="eastAsia" w:asciiTheme="minorEastAsia" w:hAnsiTheme="minorEastAsia" w:cstheme="minorEastAsia"/>
          <w:bCs/>
          <w:color w:val="000000"/>
          <w:kern w:val="0"/>
          <w:sz w:val="24"/>
          <w:lang w:bidi="ar"/>
        </w:rPr>
        <w:t>对项目的资料信息进行分析后，得出项目的风险类型分为两大类：外部环境风险和企业内部风险。外部环境风险包括政策风险、经济环境风险、行业竞争风险、信息安全风险、技术风险、市场风险等。企业内部风险包括：财务风险、商誉风险、人事风险等。</w:t>
      </w:r>
    </w:p>
    <w:p>
      <w:pPr>
        <w:widowControl/>
        <w:ind w:firstLine="420"/>
        <w:jc w:val="left"/>
        <w:rPr>
          <w:rFonts w:asciiTheme="minorEastAsia" w:hAnsiTheme="minorEastAsia" w:cstheme="minorEastAsia"/>
          <w:bCs/>
          <w:color w:val="000000"/>
          <w:kern w:val="0"/>
          <w:sz w:val="24"/>
          <w:lang w:bidi="ar"/>
        </w:rPr>
      </w:pPr>
      <w:r>
        <w:rPr>
          <w:rFonts w:hint="eastAsia" w:asciiTheme="minorEastAsia" w:hAnsiTheme="minorEastAsia" w:cstheme="minorEastAsia"/>
          <w:bCs/>
          <w:color w:val="000000"/>
          <w:kern w:val="0"/>
          <w:sz w:val="24"/>
          <w:lang w:bidi="ar"/>
        </w:rPr>
        <w:t>通过对各风险采用知识分析和定性分析后，得到风险等级的划分标准。风险对活动的影响程度分为五个等级：极小，较小，中，较大，极大。风险发生的概率用风险频率来衡量：低，中，高。</w:t>
      </w:r>
    </w:p>
    <w:p>
      <w:pPr>
        <w:widowControl/>
        <w:ind w:firstLine="420"/>
        <w:jc w:val="left"/>
        <w:rPr>
          <w:rFonts w:asciiTheme="minorEastAsia" w:hAnsiTheme="minorEastAsia" w:cstheme="minorEastAsia"/>
          <w:bCs/>
          <w:color w:val="000000"/>
          <w:kern w:val="0"/>
          <w:sz w:val="24"/>
          <w:lang w:bidi="ar"/>
        </w:rPr>
      </w:pPr>
    </w:p>
    <w:p>
      <w:pPr>
        <w:pStyle w:val="3"/>
        <w:rPr>
          <w:rFonts w:ascii="黑体" w:hAnsi="黑体" w:cstheme="minorEastAsia"/>
          <w:b w:val="0"/>
          <w:sz w:val="24"/>
        </w:rPr>
      </w:pPr>
      <w:bookmarkStart w:id="53" w:name="_Toc132368961"/>
      <w:r>
        <w:rPr>
          <w:rFonts w:ascii="黑体" w:hAnsi="黑体" w:cstheme="minorEastAsia"/>
          <w:b w:val="0"/>
          <w:sz w:val="24"/>
        </w:rPr>
        <w:t>6</w:t>
      </w:r>
      <w:r>
        <w:rPr>
          <w:rFonts w:hint="eastAsia" w:ascii="黑体" w:hAnsi="黑体" w:cstheme="minorEastAsia"/>
          <w:b w:val="0"/>
          <w:sz w:val="24"/>
        </w:rPr>
        <w:t>.3 具体风险评估及应对策略</w:t>
      </w:r>
      <w:bookmarkEnd w:id="53"/>
    </w:p>
    <w:p>
      <w:pPr>
        <w:jc w:val="center"/>
        <w:rPr>
          <w:rFonts w:asciiTheme="minorEastAsia" w:hAnsiTheme="minorEastAsia" w:cstheme="minorEastAsia"/>
          <w:bCs/>
          <w:szCs w:val="21"/>
        </w:rPr>
      </w:pPr>
    </w:p>
    <w:p>
      <w:pPr>
        <w:jc w:val="center"/>
        <w:rPr>
          <w:rFonts w:asciiTheme="minorEastAsia" w:hAnsiTheme="minorEastAsia" w:cstheme="minorEastAsia"/>
          <w:b/>
          <w:sz w:val="24"/>
        </w:rPr>
      </w:pPr>
      <w:r>
        <w:rPr>
          <w:rFonts w:hint="eastAsia" w:asciiTheme="minorEastAsia" w:hAnsiTheme="minorEastAsia" w:cstheme="minorEastAsia"/>
          <w:bCs/>
          <w:szCs w:val="21"/>
        </w:rPr>
        <w:t>表9.3-1 外部环境风险</w:t>
      </w:r>
    </w:p>
    <w:tbl>
      <w:tblPr>
        <w:tblStyle w:val="15"/>
        <w:tblW w:w="8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2389"/>
        <w:gridCol w:w="2406"/>
        <w:gridCol w:w="1211"/>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249" w:type="dxa"/>
          </w:tcPr>
          <w:p>
            <w:pPr>
              <w:jc w:val="center"/>
              <w:rPr>
                <w:rFonts w:asciiTheme="minorEastAsia" w:hAnsiTheme="minorEastAsia" w:cstheme="minorEastAsia"/>
                <w:b/>
                <w:szCs w:val="21"/>
              </w:rPr>
            </w:pPr>
            <w:r>
              <w:rPr>
                <w:rFonts w:hint="eastAsia" w:asciiTheme="minorEastAsia" w:hAnsiTheme="minorEastAsia" w:cstheme="minorEastAsia"/>
                <w:bCs/>
                <w:szCs w:val="21"/>
              </w:rPr>
              <w:t>风险类型</w:t>
            </w:r>
          </w:p>
        </w:tc>
        <w:tc>
          <w:tcPr>
            <w:tcW w:w="2389" w:type="dxa"/>
          </w:tcPr>
          <w:p>
            <w:pPr>
              <w:jc w:val="center"/>
              <w:rPr>
                <w:rFonts w:asciiTheme="minorEastAsia" w:hAnsiTheme="minorEastAsia" w:cstheme="minorEastAsia"/>
                <w:bCs/>
                <w:szCs w:val="21"/>
              </w:rPr>
            </w:pPr>
            <w:r>
              <w:rPr>
                <w:rFonts w:hint="eastAsia" w:asciiTheme="minorEastAsia" w:hAnsiTheme="minorEastAsia" w:cstheme="minorEastAsia"/>
                <w:bCs/>
                <w:szCs w:val="21"/>
              </w:rPr>
              <w:t>具体内容</w:t>
            </w:r>
          </w:p>
        </w:tc>
        <w:tc>
          <w:tcPr>
            <w:tcW w:w="2406" w:type="dxa"/>
          </w:tcPr>
          <w:p>
            <w:pPr>
              <w:jc w:val="center"/>
              <w:rPr>
                <w:rFonts w:asciiTheme="minorEastAsia" w:hAnsiTheme="minorEastAsia" w:cstheme="minorEastAsia"/>
                <w:b/>
                <w:szCs w:val="21"/>
              </w:rPr>
            </w:pPr>
            <w:r>
              <w:rPr>
                <w:rFonts w:hint="eastAsia" w:asciiTheme="minorEastAsia" w:hAnsiTheme="minorEastAsia" w:cstheme="minorEastAsia"/>
                <w:bCs/>
                <w:szCs w:val="21"/>
              </w:rPr>
              <w:t>应对策略</w:t>
            </w:r>
          </w:p>
        </w:tc>
        <w:tc>
          <w:tcPr>
            <w:tcW w:w="1211" w:type="dxa"/>
          </w:tcPr>
          <w:p>
            <w:pPr>
              <w:jc w:val="center"/>
              <w:rPr>
                <w:rFonts w:asciiTheme="minorEastAsia" w:hAnsiTheme="minorEastAsia" w:cstheme="minorEastAsia"/>
                <w:b/>
                <w:szCs w:val="21"/>
              </w:rPr>
            </w:pPr>
            <w:r>
              <w:rPr>
                <w:rFonts w:hint="eastAsia" w:asciiTheme="minorEastAsia" w:hAnsiTheme="minorEastAsia" w:cstheme="minorEastAsia"/>
                <w:bCs/>
                <w:szCs w:val="21"/>
              </w:rPr>
              <w:t>风险强度</w:t>
            </w:r>
          </w:p>
        </w:tc>
        <w:tc>
          <w:tcPr>
            <w:tcW w:w="1189" w:type="dxa"/>
          </w:tcPr>
          <w:p>
            <w:pPr>
              <w:jc w:val="center"/>
              <w:rPr>
                <w:rFonts w:asciiTheme="minorEastAsia" w:hAnsiTheme="minorEastAsia" w:cstheme="minorEastAsia"/>
                <w:bCs/>
                <w:szCs w:val="21"/>
              </w:rPr>
            </w:pPr>
            <w:r>
              <w:rPr>
                <w:rFonts w:hint="eastAsia" w:asciiTheme="minorEastAsia" w:hAnsiTheme="minorEastAsia" w:cstheme="minorEastAsia"/>
                <w:bCs/>
                <w:szCs w:val="21"/>
              </w:rPr>
              <w:t>风险频率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0" w:hRule="atLeast"/>
          <w:jc w:val="center"/>
        </w:trPr>
        <w:tc>
          <w:tcPr>
            <w:tcW w:w="1249" w:type="dxa"/>
            <w:vAlign w:val="center"/>
          </w:tcPr>
          <w:p>
            <w:pPr>
              <w:jc w:val="center"/>
              <w:rPr>
                <w:rFonts w:asciiTheme="minorEastAsia" w:hAnsiTheme="minorEastAsia" w:cstheme="minorEastAsia"/>
                <w:bCs/>
                <w:sz w:val="24"/>
              </w:rPr>
            </w:pPr>
            <w:r>
              <w:rPr>
                <w:rFonts w:hint="eastAsia" w:asciiTheme="minorEastAsia" w:hAnsiTheme="minorEastAsia" w:cstheme="minorEastAsia"/>
                <w:bCs/>
                <w:szCs w:val="21"/>
              </w:rPr>
              <w:t>政策风险</w:t>
            </w:r>
          </w:p>
        </w:tc>
        <w:tc>
          <w:tcPr>
            <w:tcW w:w="2389" w:type="dxa"/>
            <w:vAlign w:val="center"/>
          </w:tcPr>
          <w:p>
            <w:pPr>
              <w:rPr>
                <w:rFonts w:asciiTheme="minorEastAsia" w:hAnsiTheme="minorEastAsia" w:cstheme="minorEastAsia"/>
                <w:bCs/>
                <w:szCs w:val="21"/>
              </w:rPr>
            </w:pPr>
            <w:r>
              <w:rPr>
                <w:rFonts w:hint="eastAsia" w:asciiTheme="minorEastAsia" w:hAnsiTheme="minorEastAsia" w:cstheme="minorEastAsia"/>
                <w:bCs/>
                <w:szCs w:val="21"/>
              </w:rPr>
              <w:t>医疗政策变化的影响。</w:t>
            </w:r>
          </w:p>
          <w:p>
            <w:pPr>
              <w:rPr>
                <w:rFonts w:eastAsia="宋体" w:asciiTheme="minorEastAsia" w:hAnsiTheme="minorEastAsia" w:cstheme="minorEastAsia"/>
                <w:bCs/>
                <w:sz w:val="24"/>
              </w:rPr>
            </w:pPr>
            <w:r>
              <w:rPr>
                <w:rFonts w:hint="eastAsia" w:asciiTheme="minorEastAsia" w:hAnsiTheme="minorEastAsia" w:cstheme="minorEastAsia"/>
                <w:bCs/>
                <w:szCs w:val="21"/>
              </w:rPr>
              <w:t>2023年3月23日，</w:t>
            </w:r>
            <w:r>
              <w:rPr>
                <w:rFonts w:hint="eastAsia" w:asciiTheme="minorEastAsia" w:hAnsiTheme="minorEastAsia" w:cstheme="minorEastAsia"/>
                <w:color w:val="222222"/>
                <w:szCs w:val="21"/>
                <w:shd w:val="clear" w:color="auto" w:fill="FFFFFF"/>
              </w:rPr>
              <w:t>中共中央办公厅、国务院办公厅印发了《关于进一步完善医疗卫生服务体系的意见》，意见指出要发挥信息技术的支撑作用，发展“互联网+医疗健康”，建设面向医疗领域的工业互联网平台，加快推进互联网、区块链、物联网、人工智能、云计算、大数据等在医疗卫生领域中的应用。因而政策变化会带来机遇与挑战。</w:t>
            </w:r>
          </w:p>
        </w:tc>
        <w:tc>
          <w:tcPr>
            <w:tcW w:w="2406" w:type="dxa"/>
            <w:vAlign w:val="center"/>
          </w:tcPr>
          <w:p>
            <w:pPr>
              <w:jc w:val="center"/>
              <w:rPr>
                <w:rFonts w:asciiTheme="minorEastAsia" w:hAnsiTheme="minorEastAsia" w:cstheme="minorEastAsia"/>
                <w:bCs/>
                <w:sz w:val="24"/>
              </w:rPr>
            </w:pPr>
            <w:r>
              <w:rPr>
                <w:rFonts w:hint="eastAsia" w:asciiTheme="minorEastAsia" w:hAnsiTheme="minorEastAsia" w:cstheme="minorEastAsia"/>
                <w:bCs/>
                <w:szCs w:val="21"/>
              </w:rPr>
              <w:t>相较于风险，政策变化带来的更多是机遇。政策变化带来的风险较小，因此要积极响应政策号召，做好自身发展。</w:t>
            </w:r>
          </w:p>
        </w:tc>
        <w:tc>
          <w:tcPr>
            <w:tcW w:w="1211" w:type="dxa"/>
            <w:vAlign w:val="center"/>
          </w:tcPr>
          <w:p>
            <w:pPr>
              <w:jc w:val="center"/>
              <w:rPr>
                <w:rFonts w:asciiTheme="minorEastAsia" w:hAnsiTheme="minorEastAsia" w:cstheme="minorEastAsia"/>
                <w:b/>
                <w:sz w:val="24"/>
              </w:rPr>
            </w:pPr>
            <w:r>
              <w:rPr>
                <w:rFonts w:hint="eastAsia" w:asciiTheme="minorEastAsia" w:hAnsiTheme="minorEastAsia" w:cstheme="minorEastAsia"/>
                <w:bCs/>
                <w:szCs w:val="21"/>
              </w:rPr>
              <w:t>较小</w:t>
            </w:r>
          </w:p>
        </w:tc>
        <w:tc>
          <w:tcPr>
            <w:tcW w:w="1189" w:type="dxa"/>
            <w:vAlign w:val="center"/>
          </w:tcPr>
          <w:p>
            <w:pPr>
              <w:jc w:val="center"/>
              <w:rPr>
                <w:rFonts w:asciiTheme="minorEastAsia" w:hAnsiTheme="minorEastAsia" w:cstheme="minorEastAsia"/>
                <w:b/>
                <w:sz w:val="24"/>
              </w:rPr>
            </w:pPr>
            <w:r>
              <w:rPr>
                <w:rFonts w:hint="eastAsia" w:asciiTheme="minorEastAsia" w:hAnsiTheme="minorEastAsia" w:cstheme="minorEastAsia"/>
                <w:bCs/>
                <w:szCs w:val="21"/>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6" w:hRule="atLeast"/>
          <w:jc w:val="center"/>
        </w:trPr>
        <w:tc>
          <w:tcPr>
            <w:tcW w:w="1249" w:type="dxa"/>
            <w:vAlign w:val="center"/>
          </w:tcPr>
          <w:p>
            <w:pPr>
              <w:jc w:val="center"/>
              <w:rPr>
                <w:rFonts w:asciiTheme="minorEastAsia" w:hAnsiTheme="minorEastAsia" w:cstheme="minorEastAsia"/>
                <w:bCs/>
                <w:szCs w:val="21"/>
              </w:rPr>
            </w:pPr>
            <w:r>
              <w:rPr>
                <w:rFonts w:hint="eastAsia" w:asciiTheme="minorEastAsia" w:hAnsiTheme="minorEastAsia" w:cstheme="minorEastAsia"/>
                <w:bCs/>
                <w:szCs w:val="21"/>
              </w:rPr>
              <w:t>经济环境风险</w:t>
            </w:r>
          </w:p>
        </w:tc>
        <w:tc>
          <w:tcPr>
            <w:tcW w:w="2389" w:type="dxa"/>
            <w:vAlign w:val="center"/>
          </w:tcPr>
          <w:p>
            <w:pPr>
              <w:rPr>
                <w:rFonts w:eastAsia="宋体" w:asciiTheme="minorEastAsia" w:hAnsiTheme="minorEastAsia" w:cstheme="minorEastAsia"/>
                <w:bCs/>
                <w:szCs w:val="21"/>
              </w:rPr>
            </w:pPr>
            <w:r>
              <w:rPr>
                <w:rFonts w:hint="eastAsia" w:eastAsia="宋体" w:asciiTheme="minorEastAsia" w:hAnsiTheme="minorEastAsia" w:cstheme="minorEastAsia"/>
                <w:bCs/>
                <w:szCs w:val="21"/>
              </w:rPr>
              <w:t>经济环境的不稳定性，如通货膨胀、经济萎缩、消费动能潜能疲弱等。</w:t>
            </w:r>
          </w:p>
        </w:tc>
        <w:tc>
          <w:tcPr>
            <w:tcW w:w="2406" w:type="dxa"/>
            <w:vAlign w:val="center"/>
          </w:tcPr>
          <w:p>
            <w:pPr>
              <w:jc w:val="center"/>
              <w:rPr>
                <w:rFonts w:asciiTheme="minorEastAsia" w:hAnsiTheme="minorEastAsia" w:cstheme="minorEastAsia"/>
                <w:bCs/>
                <w:sz w:val="24"/>
              </w:rPr>
            </w:pPr>
            <w:r>
              <w:rPr>
                <w:rFonts w:hint="eastAsia" w:asciiTheme="minorEastAsia" w:hAnsiTheme="minorEastAsia" w:cstheme="minorEastAsia"/>
                <w:bCs/>
                <w:sz w:val="24"/>
              </w:rPr>
              <w:t>调整财务政策、人员规模、业务规模等。</w:t>
            </w:r>
          </w:p>
        </w:tc>
        <w:tc>
          <w:tcPr>
            <w:tcW w:w="1211" w:type="dxa"/>
            <w:vAlign w:val="center"/>
          </w:tcPr>
          <w:p>
            <w:pPr>
              <w:jc w:val="center"/>
              <w:rPr>
                <w:rFonts w:asciiTheme="minorEastAsia" w:hAnsiTheme="minorEastAsia" w:cstheme="minorEastAsia"/>
                <w:bCs/>
                <w:szCs w:val="21"/>
              </w:rPr>
            </w:pPr>
            <w:r>
              <w:rPr>
                <w:rFonts w:hint="eastAsia" w:asciiTheme="minorEastAsia" w:hAnsiTheme="minorEastAsia" w:cstheme="minorEastAsia"/>
                <w:bCs/>
                <w:szCs w:val="21"/>
              </w:rPr>
              <w:t>中</w:t>
            </w:r>
          </w:p>
        </w:tc>
        <w:tc>
          <w:tcPr>
            <w:tcW w:w="1189" w:type="dxa"/>
            <w:vAlign w:val="center"/>
          </w:tcPr>
          <w:p>
            <w:pPr>
              <w:jc w:val="center"/>
              <w:rPr>
                <w:rFonts w:asciiTheme="minorEastAsia" w:hAnsiTheme="minorEastAsia" w:cstheme="minorEastAsia"/>
                <w:bCs/>
                <w:szCs w:val="21"/>
              </w:rPr>
            </w:pPr>
            <w:r>
              <w:rPr>
                <w:rFonts w:hint="eastAsia" w:asciiTheme="minorEastAsia" w:hAnsiTheme="minorEastAsia" w:cstheme="minorEastAsia"/>
                <w:bCs/>
                <w:szCs w:val="21"/>
              </w:rPr>
              <w:t>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8" w:hRule="atLeast"/>
          <w:jc w:val="center"/>
        </w:trPr>
        <w:tc>
          <w:tcPr>
            <w:tcW w:w="1249" w:type="dxa"/>
            <w:vAlign w:val="center"/>
          </w:tcPr>
          <w:p>
            <w:pPr>
              <w:jc w:val="center"/>
              <w:rPr>
                <w:rFonts w:asciiTheme="minorEastAsia" w:hAnsiTheme="minorEastAsia" w:cstheme="minorEastAsia"/>
                <w:bCs/>
                <w:szCs w:val="21"/>
              </w:rPr>
            </w:pPr>
            <w:r>
              <w:rPr>
                <w:rFonts w:hint="eastAsia" w:ascii="宋体" w:hAnsi="宋体" w:eastAsia="宋体" w:cs="宋体"/>
                <w:bCs/>
                <w:szCs w:val="21"/>
              </w:rPr>
              <w:t>行业竞争风险</w:t>
            </w:r>
          </w:p>
        </w:tc>
        <w:tc>
          <w:tcPr>
            <w:tcW w:w="2389" w:type="dxa"/>
            <w:vAlign w:val="center"/>
          </w:tcPr>
          <w:p>
            <w:pPr>
              <w:rPr>
                <w:rFonts w:ascii="宋体" w:hAnsi="宋体" w:eastAsia="宋体" w:cs="宋体"/>
                <w:bCs/>
                <w:szCs w:val="21"/>
              </w:rPr>
            </w:pPr>
            <w:r>
              <w:rPr>
                <w:rFonts w:hint="eastAsia" w:ascii="宋体" w:hAnsi="宋体" w:eastAsia="宋体" w:cs="宋体"/>
                <w:bCs/>
                <w:szCs w:val="21"/>
              </w:rPr>
              <w:t>行业之间竞争激烈，守旧企业会失去竞争主动权，甚至失败。</w:t>
            </w:r>
          </w:p>
          <w:p>
            <w:pPr>
              <w:rPr>
                <w:rFonts w:eastAsia="宋体" w:asciiTheme="minorEastAsia" w:hAnsiTheme="minorEastAsia" w:cstheme="minorEastAsia"/>
                <w:bCs/>
                <w:sz w:val="24"/>
              </w:rPr>
            </w:pPr>
            <w:r>
              <w:rPr>
                <w:rFonts w:hint="eastAsia" w:ascii="宋体" w:hAnsi="宋体" w:eastAsia="宋体" w:cs="宋体"/>
                <w:bCs/>
                <w:szCs w:val="21"/>
              </w:rPr>
              <w:t>相比于市面上的eit，我们团队项目把数据处理交给工作站来做，用户可以使用手机访问网站来进行结果图像查看。提高系统运行速度以及降低对于主控芯片要求，从而降低成本。这在一定程度上保证了产品在当前市场上的优势地位。</w:t>
            </w:r>
          </w:p>
        </w:tc>
        <w:tc>
          <w:tcPr>
            <w:tcW w:w="2406" w:type="dxa"/>
            <w:vAlign w:val="center"/>
          </w:tcPr>
          <w:p>
            <w:pPr>
              <w:rPr>
                <w:rFonts w:asciiTheme="minorEastAsia" w:hAnsiTheme="minorEastAsia" w:cstheme="minorEastAsia"/>
                <w:bCs/>
                <w:szCs w:val="21"/>
              </w:rPr>
            </w:pPr>
            <w:r>
              <w:rPr>
                <w:rFonts w:hint="eastAsia" w:asciiTheme="minorEastAsia" w:hAnsiTheme="minorEastAsia" w:cstheme="minorEastAsia"/>
                <w:bCs/>
                <w:szCs w:val="21"/>
              </w:rPr>
              <w:t>秉持创新理念，坚持技术革新。</w:t>
            </w:r>
          </w:p>
          <w:p>
            <w:pPr>
              <w:rPr>
                <w:rFonts w:asciiTheme="minorEastAsia" w:hAnsiTheme="minorEastAsia" w:cstheme="minorEastAsia"/>
                <w:bCs/>
                <w:sz w:val="24"/>
              </w:rPr>
            </w:pPr>
            <w:r>
              <w:rPr>
                <w:rFonts w:hint="eastAsia" w:asciiTheme="minorEastAsia" w:hAnsiTheme="minorEastAsia" w:cstheme="minorEastAsia"/>
                <w:bCs/>
                <w:szCs w:val="21"/>
              </w:rPr>
              <w:t>积极与用客户沟通，针对客户需求进行创新，力求让客户满意。</w:t>
            </w:r>
          </w:p>
        </w:tc>
        <w:tc>
          <w:tcPr>
            <w:tcW w:w="1211" w:type="dxa"/>
            <w:vAlign w:val="center"/>
          </w:tcPr>
          <w:p>
            <w:pPr>
              <w:jc w:val="center"/>
              <w:rPr>
                <w:rFonts w:asciiTheme="minorEastAsia" w:hAnsiTheme="minorEastAsia" w:cstheme="minorEastAsia"/>
                <w:bCs/>
                <w:szCs w:val="21"/>
              </w:rPr>
            </w:pPr>
            <w:r>
              <w:rPr>
                <w:rFonts w:hint="eastAsia" w:asciiTheme="minorEastAsia" w:hAnsiTheme="minorEastAsia" w:cstheme="minorEastAsia"/>
                <w:bCs/>
                <w:szCs w:val="21"/>
              </w:rPr>
              <w:t>较大</w:t>
            </w:r>
          </w:p>
        </w:tc>
        <w:tc>
          <w:tcPr>
            <w:tcW w:w="1189" w:type="dxa"/>
            <w:vAlign w:val="center"/>
          </w:tcPr>
          <w:p>
            <w:pPr>
              <w:jc w:val="center"/>
              <w:rPr>
                <w:rFonts w:asciiTheme="minorEastAsia" w:hAnsiTheme="minorEastAsia" w:cstheme="minorEastAsia"/>
                <w:bCs/>
                <w:szCs w:val="21"/>
              </w:rPr>
            </w:pPr>
            <w:r>
              <w:rPr>
                <w:rFonts w:hint="eastAsia" w:asciiTheme="minorEastAsia" w:hAnsiTheme="minorEastAsia" w:cstheme="minorEastAsia"/>
                <w:bCs/>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2" w:hRule="atLeast"/>
          <w:jc w:val="center"/>
        </w:trPr>
        <w:tc>
          <w:tcPr>
            <w:tcW w:w="1249" w:type="dxa"/>
            <w:vAlign w:val="center"/>
          </w:tcPr>
          <w:p>
            <w:pPr>
              <w:jc w:val="center"/>
              <w:rPr>
                <w:rFonts w:ascii="宋体" w:hAnsi="宋体" w:eastAsia="宋体" w:cs="宋体"/>
                <w:bCs/>
                <w:szCs w:val="21"/>
              </w:rPr>
            </w:pPr>
            <w:r>
              <w:rPr>
                <w:rFonts w:hint="eastAsia" w:ascii="宋体" w:hAnsi="宋体" w:eastAsia="宋体" w:cs="宋体"/>
                <w:bCs/>
                <w:szCs w:val="21"/>
              </w:rPr>
              <w:t>技术风险</w:t>
            </w:r>
          </w:p>
        </w:tc>
        <w:tc>
          <w:tcPr>
            <w:tcW w:w="2389" w:type="dxa"/>
            <w:vAlign w:val="center"/>
          </w:tcPr>
          <w:p>
            <w:pPr>
              <w:rPr>
                <w:rFonts w:ascii="宋体" w:hAnsi="宋体" w:eastAsia="宋体" w:cs="宋体"/>
                <w:bCs/>
                <w:szCs w:val="21"/>
              </w:rPr>
            </w:pPr>
            <w:r>
              <w:rPr>
                <w:rFonts w:hint="eastAsia" w:ascii="宋体" w:hAnsi="宋体" w:eastAsia="宋体" w:cs="宋体"/>
                <w:color w:val="333333"/>
                <w:szCs w:val="21"/>
                <w:shd w:val="clear" w:color="auto" w:fill="FFFFFF"/>
              </w:rPr>
              <w:t>技术在创新过程中，由于技术本身的复杂性和其他相关因素变化产生的不确定性而导致技术创新遭遇失败的可能性，包括纯技术风险及其他过程中由于技术方面的因素所造成的风险。</w:t>
            </w:r>
          </w:p>
        </w:tc>
        <w:tc>
          <w:tcPr>
            <w:tcW w:w="2406" w:type="dxa"/>
            <w:vAlign w:val="center"/>
          </w:tcPr>
          <w:p>
            <w:pPr>
              <w:widowControl/>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减小硬件电路的体积、优化现有硬件的精确度。</w:t>
            </w:r>
          </w:p>
          <w:p>
            <w:pPr>
              <w:widowControl/>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优化图像重构算法，改善非线性问题，提高图像分辨率。</w:t>
            </w:r>
          </w:p>
          <w:p>
            <w:pPr>
              <w:widowControl/>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提高设备可靠性和稳定性。</w:t>
            </w:r>
          </w:p>
          <w:p>
            <w:pPr>
              <w:widowControl/>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进行多频率EIT和三维EIT的开发。</w:t>
            </w:r>
          </w:p>
          <w:p>
            <w:pPr>
              <w:rPr>
                <w:rFonts w:asciiTheme="minorEastAsia" w:hAnsiTheme="minorEastAsia" w:cstheme="minorEastAsia"/>
                <w:bCs/>
                <w:szCs w:val="21"/>
              </w:rPr>
            </w:pPr>
            <w:r>
              <w:rPr>
                <w:rFonts w:hint="eastAsia" w:asciiTheme="minorEastAsia" w:hAnsiTheme="minorEastAsia" w:cstheme="minorEastAsia"/>
                <w:bCs/>
                <w:szCs w:val="21"/>
              </w:rPr>
              <w:t>优化穿戴设备形状，提高穿戴便捷性。</w:t>
            </w:r>
          </w:p>
          <w:p>
            <w:pPr>
              <w:rPr>
                <w:rFonts w:asciiTheme="minorEastAsia" w:hAnsiTheme="minorEastAsia" w:cstheme="minorEastAsia"/>
                <w:bCs/>
                <w:szCs w:val="21"/>
              </w:rPr>
            </w:pPr>
            <w:r>
              <w:rPr>
                <w:rFonts w:hint="eastAsia" w:asciiTheme="minorEastAsia" w:hAnsiTheme="minorEastAsia" w:cstheme="minorEastAsia"/>
                <w:bCs/>
                <w:szCs w:val="21"/>
              </w:rPr>
              <w:t>开发APP，提高使用便利性。开发客户反馈平台，了解用户满意度和其他需求。</w:t>
            </w:r>
          </w:p>
        </w:tc>
        <w:tc>
          <w:tcPr>
            <w:tcW w:w="1211" w:type="dxa"/>
            <w:vAlign w:val="center"/>
          </w:tcPr>
          <w:p>
            <w:pPr>
              <w:jc w:val="center"/>
              <w:rPr>
                <w:rFonts w:asciiTheme="minorEastAsia" w:hAnsiTheme="minorEastAsia" w:cstheme="minorEastAsia"/>
                <w:bCs/>
                <w:szCs w:val="21"/>
              </w:rPr>
            </w:pPr>
            <w:r>
              <w:rPr>
                <w:rFonts w:hint="eastAsia" w:asciiTheme="minorEastAsia" w:hAnsiTheme="minorEastAsia" w:cstheme="minorEastAsia"/>
                <w:bCs/>
                <w:szCs w:val="21"/>
              </w:rPr>
              <w:t>较大</w:t>
            </w:r>
          </w:p>
        </w:tc>
        <w:tc>
          <w:tcPr>
            <w:tcW w:w="1189" w:type="dxa"/>
            <w:vAlign w:val="center"/>
          </w:tcPr>
          <w:p>
            <w:pPr>
              <w:jc w:val="center"/>
              <w:rPr>
                <w:rFonts w:asciiTheme="minorEastAsia" w:hAnsiTheme="minorEastAsia" w:cstheme="minorEastAsia"/>
                <w:bCs/>
                <w:szCs w:val="21"/>
              </w:rPr>
            </w:pPr>
            <w:r>
              <w:rPr>
                <w:rFonts w:hint="eastAsia" w:asciiTheme="minorEastAsia" w:hAnsiTheme="minorEastAsia" w:cstheme="minorEastAsia"/>
                <w:bCs/>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4" w:hRule="atLeast"/>
          <w:jc w:val="center"/>
        </w:trPr>
        <w:tc>
          <w:tcPr>
            <w:tcW w:w="1249" w:type="dxa"/>
            <w:vAlign w:val="center"/>
          </w:tcPr>
          <w:p>
            <w:pPr>
              <w:jc w:val="center"/>
              <w:rPr>
                <w:rFonts w:asciiTheme="minorEastAsia" w:hAnsiTheme="minorEastAsia" w:cstheme="minorEastAsia"/>
                <w:bCs/>
                <w:szCs w:val="21"/>
              </w:rPr>
            </w:pPr>
            <w:r>
              <w:rPr>
                <w:rFonts w:hint="eastAsia" w:asciiTheme="minorEastAsia" w:hAnsiTheme="minorEastAsia" w:cstheme="minorEastAsia"/>
                <w:bCs/>
                <w:szCs w:val="21"/>
              </w:rPr>
              <w:t xml:space="preserve"> 信息安全风险</w:t>
            </w:r>
          </w:p>
        </w:tc>
        <w:tc>
          <w:tcPr>
            <w:tcW w:w="2389" w:type="dxa"/>
            <w:vAlign w:val="center"/>
          </w:tcPr>
          <w:p>
            <w:pPr>
              <w:rPr>
                <w:rFonts w:asciiTheme="minorEastAsia" w:hAnsiTheme="minorEastAsia" w:cstheme="minorEastAsia"/>
                <w:bCs/>
                <w:szCs w:val="21"/>
              </w:rPr>
            </w:pPr>
            <w:r>
              <w:rPr>
                <w:rFonts w:hint="eastAsia" w:asciiTheme="minorEastAsia" w:hAnsiTheme="minorEastAsia" w:cstheme="minorEastAsia"/>
                <w:bCs/>
                <w:szCs w:val="21"/>
              </w:rPr>
              <w:t>产品通过WIFI将数据上传到工作站，供用户通过网络查看。其中的数据不仅包括EIT成像数据，还有用户的个人信息数据，如果此过程中信息泄露，将会造成巨大的信息安全事故。</w:t>
            </w:r>
          </w:p>
        </w:tc>
        <w:tc>
          <w:tcPr>
            <w:tcW w:w="2406" w:type="dxa"/>
            <w:vAlign w:val="center"/>
          </w:tcPr>
          <w:p>
            <w:pPr>
              <w:rPr>
                <w:rFonts w:asciiTheme="minorEastAsia" w:hAnsiTheme="minorEastAsia" w:cstheme="minorEastAsia"/>
                <w:bCs/>
                <w:szCs w:val="21"/>
              </w:rPr>
            </w:pPr>
          </w:p>
          <w:p>
            <w:pPr>
              <w:rPr>
                <w:rFonts w:asciiTheme="minorEastAsia" w:hAnsiTheme="minorEastAsia" w:cstheme="minorEastAsia"/>
                <w:bCs/>
                <w:szCs w:val="21"/>
              </w:rPr>
            </w:pPr>
            <w:r>
              <w:rPr>
                <w:rFonts w:hint="eastAsia" w:asciiTheme="minorEastAsia" w:hAnsiTheme="minorEastAsia" w:cstheme="minorEastAsia"/>
                <w:bCs/>
                <w:szCs w:val="21"/>
              </w:rPr>
              <w:t>确保信息涉及的每个过程都受到保护，做好权限管控，培养工作人员信息安全意识。</w:t>
            </w:r>
          </w:p>
        </w:tc>
        <w:tc>
          <w:tcPr>
            <w:tcW w:w="1211" w:type="dxa"/>
            <w:vAlign w:val="center"/>
          </w:tcPr>
          <w:p>
            <w:pPr>
              <w:jc w:val="center"/>
              <w:rPr>
                <w:rFonts w:asciiTheme="minorEastAsia" w:hAnsiTheme="minorEastAsia" w:cstheme="minorEastAsia"/>
                <w:b/>
                <w:szCs w:val="21"/>
              </w:rPr>
            </w:pPr>
            <w:r>
              <w:rPr>
                <w:rFonts w:hint="eastAsia" w:asciiTheme="minorEastAsia" w:hAnsiTheme="minorEastAsia" w:cstheme="minorEastAsia"/>
                <w:bCs/>
                <w:szCs w:val="21"/>
              </w:rPr>
              <w:t>极大</w:t>
            </w:r>
          </w:p>
        </w:tc>
        <w:tc>
          <w:tcPr>
            <w:tcW w:w="1189" w:type="dxa"/>
            <w:vAlign w:val="center"/>
          </w:tcPr>
          <w:p>
            <w:pPr>
              <w:jc w:val="center"/>
              <w:rPr>
                <w:rFonts w:asciiTheme="minorEastAsia" w:hAnsiTheme="minorEastAsia" w:cstheme="minorEastAsia"/>
                <w:bCs/>
                <w:szCs w:val="21"/>
              </w:rPr>
            </w:pPr>
            <w:r>
              <w:rPr>
                <w:rFonts w:hint="eastAsia" w:asciiTheme="minorEastAsia" w:hAnsiTheme="minorEastAsia" w:cstheme="minorEastAsia"/>
                <w:bCs/>
                <w:szCs w:val="21"/>
              </w:rPr>
              <w:t>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6" w:hRule="atLeast"/>
          <w:jc w:val="center"/>
        </w:trPr>
        <w:tc>
          <w:tcPr>
            <w:tcW w:w="1249" w:type="dxa"/>
            <w:vAlign w:val="center"/>
          </w:tcPr>
          <w:p>
            <w:pPr>
              <w:jc w:val="center"/>
              <w:rPr>
                <w:rFonts w:asciiTheme="minorEastAsia" w:hAnsiTheme="minorEastAsia" w:cstheme="minorEastAsia"/>
                <w:bCs/>
                <w:szCs w:val="21"/>
              </w:rPr>
            </w:pPr>
            <w:r>
              <w:rPr>
                <w:rFonts w:hint="eastAsia" w:asciiTheme="minorEastAsia" w:hAnsiTheme="minorEastAsia" w:cstheme="minorEastAsia"/>
                <w:bCs/>
                <w:szCs w:val="21"/>
              </w:rPr>
              <w:t xml:space="preserve"> 市场风险</w:t>
            </w:r>
          </w:p>
        </w:tc>
        <w:tc>
          <w:tcPr>
            <w:tcW w:w="2389" w:type="dxa"/>
            <w:vAlign w:val="center"/>
          </w:tcPr>
          <w:p>
            <w:pPr>
              <w:rPr>
                <w:rFonts w:asciiTheme="minorEastAsia" w:hAnsiTheme="minorEastAsia" w:cstheme="minorEastAsia"/>
                <w:bCs/>
                <w:szCs w:val="21"/>
              </w:rPr>
            </w:pPr>
            <w:r>
              <w:rPr>
                <w:rFonts w:hint="eastAsia" w:asciiTheme="minorEastAsia" w:hAnsiTheme="minorEastAsia" w:cstheme="minorEastAsia"/>
                <w:bCs/>
                <w:szCs w:val="21"/>
              </w:rPr>
              <w:t>作为一款新型产品，EIT的知名度不高，在医疗机构已经习惯使用B超、核磁等设备的现况下，EIT相比于传统设备的独特性若不能得到客户认可，则会存在一定的市场受阻风险。</w:t>
            </w:r>
          </w:p>
        </w:tc>
        <w:tc>
          <w:tcPr>
            <w:tcW w:w="2406" w:type="dxa"/>
            <w:vAlign w:val="center"/>
          </w:tcPr>
          <w:p>
            <w:pPr>
              <w:rPr>
                <w:rFonts w:asciiTheme="minorEastAsia" w:hAnsiTheme="minorEastAsia" w:cstheme="minorEastAsia"/>
                <w:bCs/>
                <w:szCs w:val="21"/>
              </w:rPr>
            </w:pPr>
          </w:p>
          <w:p>
            <w:pPr>
              <w:rPr>
                <w:rFonts w:asciiTheme="minorEastAsia" w:hAnsiTheme="minorEastAsia" w:cstheme="minorEastAsia"/>
                <w:bCs/>
                <w:szCs w:val="21"/>
              </w:rPr>
            </w:pPr>
            <w:r>
              <w:rPr>
                <w:rFonts w:hint="eastAsia" w:asciiTheme="minorEastAsia" w:hAnsiTheme="minorEastAsia" w:cstheme="minorEastAsia"/>
                <w:bCs/>
                <w:szCs w:val="21"/>
              </w:rPr>
              <w:t>与大医院合作，介绍EIT的优越性，将EIT设备投入试用，了解客户需求。</w:t>
            </w:r>
          </w:p>
          <w:p>
            <w:pPr>
              <w:rPr>
                <w:rFonts w:asciiTheme="minorEastAsia" w:hAnsiTheme="minorEastAsia" w:cstheme="minorEastAsia"/>
                <w:bCs/>
                <w:szCs w:val="21"/>
              </w:rPr>
            </w:pPr>
            <w:r>
              <w:rPr>
                <w:rFonts w:hint="eastAsia" w:asciiTheme="minorEastAsia" w:hAnsiTheme="minorEastAsia" w:cstheme="minorEastAsia"/>
                <w:bCs/>
                <w:szCs w:val="21"/>
              </w:rPr>
              <w:t>利用新媒体进行宣传，让用户了解EIT使用的便捷性。</w:t>
            </w:r>
          </w:p>
          <w:p>
            <w:pPr>
              <w:rPr>
                <w:rFonts w:asciiTheme="minorEastAsia" w:hAnsiTheme="minorEastAsia" w:cstheme="minorEastAsia"/>
                <w:bCs/>
                <w:szCs w:val="21"/>
              </w:rPr>
            </w:pPr>
          </w:p>
        </w:tc>
        <w:tc>
          <w:tcPr>
            <w:tcW w:w="1211" w:type="dxa"/>
            <w:vAlign w:val="center"/>
          </w:tcPr>
          <w:p>
            <w:pPr>
              <w:jc w:val="center"/>
              <w:rPr>
                <w:rFonts w:asciiTheme="minorEastAsia" w:hAnsiTheme="minorEastAsia" w:cstheme="minorEastAsia"/>
                <w:bCs/>
                <w:szCs w:val="21"/>
              </w:rPr>
            </w:pPr>
            <w:r>
              <w:rPr>
                <w:rFonts w:hint="eastAsia" w:asciiTheme="minorEastAsia" w:hAnsiTheme="minorEastAsia" w:cstheme="minorEastAsia"/>
                <w:bCs/>
                <w:szCs w:val="21"/>
              </w:rPr>
              <w:t>较大</w:t>
            </w:r>
          </w:p>
        </w:tc>
        <w:tc>
          <w:tcPr>
            <w:tcW w:w="1189" w:type="dxa"/>
            <w:vAlign w:val="center"/>
          </w:tcPr>
          <w:p>
            <w:pPr>
              <w:jc w:val="center"/>
              <w:rPr>
                <w:rFonts w:asciiTheme="minorEastAsia" w:hAnsiTheme="minorEastAsia" w:cstheme="minorEastAsia"/>
                <w:bCs/>
                <w:szCs w:val="21"/>
              </w:rPr>
            </w:pPr>
            <w:r>
              <w:rPr>
                <w:rFonts w:hint="eastAsia" w:asciiTheme="minorEastAsia" w:hAnsiTheme="minorEastAsia" w:cstheme="minorEastAsia"/>
                <w:bCs/>
                <w:szCs w:val="21"/>
              </w:rPr>
              <w:t>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6" w:hRule="atLeast"/>
          <w:jc w:val="center"/>
        </w:trPr>
        <w:tc>
          <w:tcPr>
            <w:tcW w:w="1249" w:type="dxa"/>
            <w:vAlign w:val="center"/>
          </w:tcPr>
          <w:p>
            <w:pPr>
              <w:jc w:val="center"/>
              <w:rPr>
                <w:rFonts w:asciiTheme="minorEastAsia" w:hAnsiTheme="minorEastAsia" w:cstheme="minorEastAsia"/>
                <w:bCs/>
                <w:szCs w:val="21"/>
              </w:rPr>
            </w:pPr>
            <w:r>
              <w:rPr>
                <w:rFonts w:hint="eastAsia" w:asciiTheme="minorEastAsia" w:hAnsiTheme="minorEastAsia" w:cstheme="minorEastAsia"/>
                <w:bCs/>
                <w:szCs w:val="21"/>
              </w:rPr>
              <w:t>法律风险</w:t>
            </w:r>
          </w:p>
        </w:tc>
        <w:tc>
          <w:tcPr>
            <w:tcW w:w="2389" w:type="dxa"/>
            <w:vAlign w:val="center"/>
          </w:tcPr>
          <w:p>
            <w:pPr>
              <w:rPr>
                <w:rFonts w:asciiTheme="minorEastAsia" w:hAnsiTheme="minorEastAsia" w:cstheme="minorEastAsia"/>
                <w:bCs/>
                <w:szCs w:val="21"/>
              </w:rPr>
            </w:pPr>
            <w:r>
              <w:rPr>
                <w:rFonts w:hint="eastAsia" w:asciiTheme="minorEastAsia" w:hAnsiTheme="minorEastAsia" w:cstheme="minorEastAsia"/>
                <w:bCs/>
                <w:szCs w:val="21"/>
              </w:rPr>
              <w:t>企业签署合同不慎落入合同陷阱，造成企业的利益损失。</w:t>
            </w:r>
          </w:p>
        </w:tc>
        <w:tc>
          <w:tcPr>
            <w:tcW w:w="2406" w:type="dxa"/>
            <w:vAlign w:val="center"/>
          </w:tcPr>
          <w:p>
            <w:pPr>
              <w:rPr>
                <w:rFonts w:asciiTheme="minorEastAsia" w:hAnsiTheme="minorEastAsia" w:cstheme="minorEastAsia"/>
                <w:bCs/>
                <w:szCs w:val="21"/>
              </w:rPr>
            </w:pPr>
            <w:r>
              <w:rPr>
                <w:rFonts w:hint="eastAsia" w:asciiTheme="minorEastAsia" w:hAnsiTheme="minorEastAsia" w:cstheme="minorEastAsia"/>
                <w:bCs/>
                <w:szCs w:val="21"/>
              </w:rPr>
              <w:t>提高合同管理能力，树立防骗意识。</w:t>
            </w:r>
          </w:p>
        </w:tc>
        <w:tc>
          <w:tcPr>
            <w:tcW w:w="1211" w:type="dxa"/>
            <w:vAlign w:val="center"/>
          </w:tcPr>
          <w:p>
            <w:pPr>
              <w:jc w:val="center"/>
              <w:rPr>
                <w:rFonts w:asciiTheme="minorEastAsia" w:hAnsiTheme="minorEastAsia" w:cstheme="minorEastAsia"/>
                <w:bCs/>
                <w:szCs w:val="21"/>
              </w:rPr>
            </w:pPr>
            <w:r>
              <w:rPr>
                <w:rFonts w:hint="eastAsia" w:asciiTheme="minorEastAsia" w:hAnsiTheme="minorEastAsia" w:cstheme="minorEastAsia"/>
                <w:bCs/>
                <w:szCs w:val="21"/>
              </w:rPr>
              <w:t>较大</w:t>
            </w:r>
          </w:p>
        </w:tc>
        <w:tc>
          <w:tcPr>
            <w:tcW w:w="1189" w:type="dxa"/>
            <w:vAlign w:val="center"/>
          </w:tcPr>
          <w:p>
            <w:pPr>
              <w:jc w:val="center"/>
              <w:rPr>
                <w:rFonts w:asciiTheme="minorEastAsia" w:hAnsiTheme="minorEastAsia" w:cstheme="minorEastAsia"/>
                <w:bCs/>
                <w:szCs w:val="21"/>
              </w:rPr>
            </w:pPr>
            <w:r>
              <w:rPr>
                <w:rFonts w:hint="eastAsia" w:asciiTheme="minorEastAsia" w:hAnsiTheme="minorEastAsia" w:cstheme="minorEastAsia"/>
                <w:bCs/>
                <w:szCs w:val="21"/>
              </w:rPr>
              <w:t>低</w:t>
            </w:r>
          </w:p>
        </w:tc>
      </w:tr>
    </w:tbl>
    <w:p>
      <w:pPr>
        <w:rPr>
          <w:rFonts w:asciiTheme="minorEastAsia" w:hAnsiTheme="minorEastAsia" w:cstheme="minorEastAsia"/>
          <w:b/>
          <w:sz w:val="24"/>
        </w:rPr>
      </w:pPr>
    </w:p>
    <w:p>
      <w:pPr>
        <w:rPr>
          <w:rFonts w:asciiTheme="minorEastAsia" w:hAnsiTheme="minorEastAsia" w:cstheme="minorEastAsia"/>
          <w:b/>
          <w:sz w:val="24"/>
        </w:rPr>
      </w:pPr>
    </w:p>
    <w:p>
      <w:pPr>
        <w:jc w:val="center"/>
        <w:rPr>
          <w:rFonts w:asciiTheme="minorEastAsia" w:hAnsiTheme="minorEastAsia" w:cstheme="minorEastAsia"/>
          <w:bCs/>
          <w:szCs w:val="21"/>
        </w:rPr>
      </w:pPr>
      <w:r>
        <w:rPr>
          <w:rFonts w:hint="eastAsia" w:asciiTheme="minorEastAsia" w:hAnsiTheme="minorEastAsia" w:cstheme="minorEastAsia"/>
          <w:bCs/>
          <w:szCs w:val="21"/>
        </w:rPr>
        <w:t>表9.3-2 企业内部风险</w:t>
      </w:r>
    </w:p>
    <w:tbl>
      <w:tblPr>
        <w:tblStyle w:val="15"/>
        <w:tblW w:w="8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2389"/>
        <w:gridCol w:w="2406"/>
        <w:gridCol w:w="1211"/>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249" w:type="dxa"/>
          </w:tcPr>
          <w:p>
            <w:pPr>
              <w:jc w:val="center"/>
              <w:rPr>
                <w:rFonts w:asciiTheme="minorEastAsia" w:hAnsiTheme="minorEastAsia" w:cstheme="minorEastAsia"/>
                <w:b/>
                <w:szCs w:val="21"/>
              </w:rPr>
            </w:pPr>
            <w:r>
              <w:rPr>
                <w:rFonts w:hint="eastAsia" w:asciiTheme="minorEastAsia" w:hAnsiTheme="minorEastAsia" w:cstheme="minorEastAsia"/>
                <w:bCs/>
                <w:szCs w:val="21"/>
              </w:rPr>
              <w:t>风险类型</w:t>
            </w:r>
          </w:p>
        </w:tc>
        <w:tc>
          <w:tcPr>
            <w:tcW w:w="2389" w:type="dxa"/>
          </w:tcPr>
          <w:p>
            <w:pPr>
              <w:jc w:val="center"/>
              <w:rPr>
                <w:rFonts w:asciiTheme="minorEastAsia" w:hAnsiTheme="minorEastAsia" w:cstheme="minorEastAsia"/>
                <w:bCs/>
                <w:szCs w:val="21"/>
              </w:rPr>
            </w:pPr>
            <w:r>
              <w:rPr>
                <w:rFonts w:hint="eastAsia" w:asciiTheme="minorEastAsia" w:hAnsiTheme="minorEastAsia" w:cstheme="minorEastAsia"/>
                <w:bCs/>
                <w:szCs w:val="21"/>
              </w:rPr>
              <w:t>具体内容</w:t>
            </w:r>
          </w:p>
        </w:tc>
        <w:tc>
          <w:tcPr>
            <w:tcW w:w="2406" w:type="dxa"/>
          </w:tcPr>
          <w:p>
            <w:pPr>
              <w:jc w:val="center"/>
              <w:rPr>
                <w:rFonts w:asciiTheme="minorEastAsia" w:hAnsiTheme="minorEastAsia" w:cstheme="minorEastAsia"/>
                <w:b/>
                <w:szCs w:val="21"/>
              </w:rPr>
            </w:pPr>
            <w:r>
              <w:rPr>
                <w:rFonts w:hint="eastAsia" w:asciiTheme="minorEastAsia" w:hAnsiTheme="minorEastAsia" w:cstheme="minorEastAsia"/>
                <w:bCs/>
                <w:szCs w:val="21"/>
              </w:rPr>
              <w:t>应对策略</w:t>
            </w:r>
          </w:p>
        </w:tc>
        <w:tc>
          <w:tcPr>
            <w:tcW w:w="1211" w:type="dxa"/>
          </w:tcPr>
          <w:p>
            <w:pPr>
              <w:jc w:val="center"/>
              <w:rPr>
                <w:rFonts w:asciiTheme="minorEastAsia" w:hAnsiTheme="minorEastAsia" w:cstheme="minorEastAsia"/>
                <w:b/>
                <w:szCs w:val="21"/>
              </w:rPr>
            </w:pPr>
            <w:r>
              <w:rPr>
                <w:rFonts w:hint="eastAsia" w:asciiTheme="minorEastAsia" w:hAnsiTheme="minorEastAsia" w:cstheme="minorEastAsia"/>
                <w:bCs/>
                <w:szCs w:val="21"/>
              </w:rPr>
              <w:t>风险强度</w:t>
            </w:r>
          </w:p>
        </w:tc>
        <w:tc>
          <w:tcPr>
            <w:tcW w:w="1189" w:type="dxa"/>
          </w:tcPr>
          <w:p>
            <w:pPr>
              <w:jc w:val="center"/>
              <w:rPr>
                <w:rFonts w:asciiTheme="minorEastAsia" w:hAnsiTheme="minorEastAsia" w:cstheme="minorEastAsia"/>
                <w:bCs/>
                <w:szCs w:val="21"/>
              </w:rPr>
            </w:pPr>
            <w:r>
              <w:rPr>
                <w:rFonts w:hint="eastAsia" w:asciiTheme="minorEastAsia" w:hAnsiTheme="minorEastAsia" w:cstheme="minorEastAsia"/>
                <w:bCs/>
                <w:szCs w:val="21"/>
              </w:rPr>
              <w:t>风险频率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atLeast"/>
          <w:jc w:val="center"/>
        </w:trPr>
        <w:tc>
          <w:tcPr>
            <w:tcW w:w="1249" w:type="dxa"/>
            <w:vAlign w:val="center"/>
          </w:tcPr>
          <w:p>
            <w:pPr>
              <w:jc w:val="center"/>
              <w:rPr>
                <w:rFonts w:asciiTheme="minorEastAsia" w:hAnsiTheme="minorEastAsia" w:cstheme="minorEastAsia"/>
                <w:bCs/>
                <w:szCs w:val="21"/>
              </w:rPr>
            </w:pPr>
            <w:r>
              <w:rPr>
                <w:rFonts w:hint="eastAsia" w:asciiTheme="minorEastAsia" w:hAnsiTheme="minorEastAsia" w:cstheme="minorEastAsia"/>
                <w:bCs/>
                <w:szCs w:val="21"/>
              </w:rPr>
              <w:t>财务风险</w:t>
            </w:r>
          </w:p>
        </w:tc>
        <w:tc>
          <w:tcPr>
            <w:tcW w:w="2389" w:type="dxa"/>
            <w:vAlign w:val="center"/>
          </w:tcPr>
          <w:p>
            <w:pPr>
              <w:rPr>
                <w:rFonts w:asciiTheme="minorEastAsia" w:hAnsiTheme="minorEastAsia" w:cstheme="minorEastAsia"/>
                <w:bCs/>
                <w:szCs w:val="21"/>
              </w:rPr>
            </w:pPr>
          </w:p>
          <w:p>
            <w:pPr>
              <w:rPr>
                <w:rFonts w:asciiTheme="minorEastAsia" w:hAnsiTheme="minorEastAsia" w:cstheme="minorEastAsia"/>
                <w:bCs/>
                <w:szCs w:val="21"/>
              </w:rPr>
            </w:pPr>
          </w:p>
          <w:p>
            <w:pPr>
              <w:rPr>
                <w:rFonts w:asciiTheme="minorEastAsia" w:hAnsiTheme="minorEastAsia" w:cstheme="minorEastAsia"/>
                <w:bCs/>
                <w:szCs w:val="21"/>
              </w:rPr>
            </w:pPr>
            <w:r>
              <w:rPr>
                <w:rFonts w:hint="eastAsia" w:asciiTheme="minorEastAsia" w:hAnsiTheme="minorEastAsia" w:cstheme="minorEastAsia"/>
                <w:bCs/>
                <w:szCs w:val="21"/>
              </w:rPr>
              <w:t>营运资金短缺、融资受限等会影响企业正常运营。</w:t>
            </w:r>
          </w:p>
          <w:p>
            <w:pPr>
              <w:rPr>
                <w:rFonts w:asciiTheme="minorEastAsia" w:hAnsiTheme="minorEastAsia" w:cstheme="minorEastAsia"/>
                <w:bCs/>
                <w:szCs w:val="21"/>
              </w:rPr>
            </w:pPr>
          </w:p>
          <w:p>
            <w:pPr>
              <w:rPr>
                <w:rFonts w:asciiTheme="minorEastAsia" w:hAnsiTheme="minorEastAsia" w:cstheme="minorEastAsia"/>
                <w:bCs/>
                <w:szCs w:val="21"/>
              </w:rPr>
            </w:pPr>
          </w:p>
        </w:tc>
        <w:tc>
          <w:tcPr>
            <w:tcW w:w="2406" w:type="dxa"/>
            <w:vAlign w:val="center"/>
          </w:tcPr>
          <w:p>
            <w:pPr>
              <w:rPr>
                <w:rFonts w:asciiTheme="minorEastAsia" w:hAnsiTheme="minorEastAsia" w:cstheme="minorEastAsia"/>
                <w:bCs/>
                <w:szCs w:val="21"/>
              </w:rPr>
            </w:pPr>
            <w:r>
              <w:rPr>
                <w:rFonts w:hint="eastAsia" w:asciiTheme="minorEastAsia" w:hAnsiTheme="minorEastAsia" w:cstheme="minorEastAsia"/>
                <w:bCs/>
                <w:szCs w:val="21"/>
              </w:rPr>
              <w:t>加大人才引进，确保公司业务达到目标。</w:t>
            </w:r>
          </w:p>
          <w:p>
            <w:pPr>
              <w:rPr>
                <w:rFonts w:asciiTheme="minorEastAsia" w:hAnsiTheme="minorEastAsia" w:cstheme="minorEastAsia"/>
                <w:bCs/>
                <w:szCs w:val="21"/>
              </w:rPr>
            </w:pPr>
            <w:r>
              <w:rPr>
                <w:rFonts w:hint="eastAsia" w:asciiTheme="minorEastAsia" w:hAnsiTheme="minorEastAsia" w:cstheme="minorEastAsia"/>
                <w:bCs/>
                <w:szCs w:val="21"/>
              </w:rPr>
              <w:t>增加融资对象，成立公司财务风险监测预警小组。</w:t>
            </w:r>
          </w:p>
        </w:tc>
        <w:tc>
          <w:tcPr>
            <w:tcW w:w="1211" w:type="dxa"/>
            <w:vAlign w:val="center"/>
          </w:tcPr>
          <w:p>
            <w:pPr>
              <w:jc w:val="center"/>
              <w:rPr>
                <w:rFonts w:asciiTheme="minorEastAsia" w:hAnsiTheme="minorEastAsia" w:cstheme="minorEastAsia"/>
                <w:bCs/>
                <w:szCs w:val="21"/>
              </w:rPr>
            </w:pPr>
            <w:r>
              <w:rPr>
                <w:rFonts w:hint="eastAsia" w:asciiTheme="minorEastAsia" w:hAnsiTheme="minorEastAsia" w:cstheme="minorEastAsia"/>
                <w:bCs/>
                <w:szCs w:val="21"/>
              </w:rPr>
              <w:t>极大</w:t>
            </w:r>
          </w:p>
        </w:tc>
        <w:tc>
          <w:tcPr>
            <w:tcW w:w="1189" w:type="dxa"/>
            <w:vAlign w:val="center"/>
          </w:tcPr>
          <w:p>
            <w:pPr>
              <w:jc w:val="center"/>
              <w:rPr>
                <w:rFonts w:asciiTheme="minorEastAsia" w:hAnsiTheme="minorEastAsia" w:cstheme="minorEastAsia"/>
                <w:bCs/>
                <w:szCs w:val="21"/>
              </w:rPr>
            </w:pPr>
            <w:r>
              <w:rPr>
                <w:rFonts w:hint="eastAsia" w:asciiTheme="minorEastAsia" w:hAnsiTheme="minorEastAsia" w:cstheme="minorEastAsia"/>
                <w:bCs/>
                <w:szCs w:val="21"/>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atLeast"/>
          <w:jc w:val="center"/>
        </w:trPr>
        <w:tc>
          <w:tcPr>
            <w:tcW w:w="1249" w:type="dxa"/>
            <w:vAlign w:val="center"/>
          </w:tcPr>
          <w:p>
            <w:pPr>
              <w:jc w:val="center"/>
              <w:rPr>
                <w:rFonts w:asciiTheme="minorEastAsia" w:hAnsiTheme="minorEastAsia" w:cstheme="minorEastAsia"/>
                <w:bCs/>
                <w:szCs w:val="21"/>
              </w:rPr>
            </w:pPr>
            <w:r>
              <w:rPr>
                <w:rFonts w:hint="eastAsia" w:asciiTheme="minorEastAsia" w:hAnsiTheme="minorEastAsia" w:cstheme="minorEastAsia"/>
                <w:bCs/>
                <w:szCs w:val="21"/>
              </w:rPr>
              <w:t>人员素质风险</w:t>
            </w:r>
          </w:p>
        </w:tc>
        <w:tc>
          <w:tcPr>
            <w:tcW w:w="2389" w:type="dxa"/>
            <w:vAlign w:val="center"/>
          </w:tcPr>
          <w:p>
            <w:pPr>
              <w:rPr>
                <w:rFonts w:asciiTheme="minorEastAsia" w:hAnsiTheme="minorEastAsia" w:cstheme="minorEastAsia"/>
                <w:bCs/>
                <w:szCs w:val="21"/>
              </w:rPr>
            </w:pPr>
            <w:r>
              <w:rPr>
                <w:rFonts w:hint="eastAsia" w:asciiTheme="minorEastAsia" w:hAnsiTheme="minorEastAsia" w:cstheme="minorEastAsia"/>
                <w:bCs/>
                <w:szCs w:val="21"/>
              </w:rPr>
              <w:t>企业技术人员素质是否达标，这直接影响技术革新的进展。</w:t>
            </w:r>
          </w:p>
        </w:tc>
        <w:tc>
          <w:tcPr>
            <w:tcW w:w="2406" w:type="dxa"/>
            <w:vAlign w:val="center"/>
          </w:tcPr>
          <w:p>
            <w:pPr>
              <w:rPr>
                <w:rFonts w:asciiTheme="minorEastAsia" w:hAnsiTheme="minorEastAsia" w:cstheme="minorEastAsia"/>
                <w:bCs/>
                <w:szCs w:val="21"/>
              </w:rPr>
            </w:pPr>
            <w:r>
              <w:rPr>
                <w:rFonts w:hint="eastAsia" w:asciiTheme="minorEastAsia" w:hAnsiTheme="minorEastAsia" w:cstheme="minorEastAsia"/>
                <w:bCs/>
                <w:szCs w:val="21"/>
              </w:rPr>
              <w:t>积极引进人才，建立奖惩机制。</w:t>
            </w:r>
          </w:p>
        </w:tc>
        <w:tc>
          <w:tcPr>
            <w:tcW w:w="1211" w:type="dxa"/>
            <w:vAlign w:val="center"/>
          </w:tcPr>
          <w:p>
            <w:pPr>
              <w:jc w:val="center"/>
              <w:rPr>
                <w:rFonts w:asciiTheme="minorEastAsia" w:hAnsiTheme="minorEastAsia" w:cstheme="minorEastAsia"/>
                <w:bCs/>
                <w:szCs w:val="21"/>
              </w:rPr>
            </w:pPr>
            <w:r>
              <w:rPr>
                <w:rFonts w:hint="eastAsia" w:asciiTheme="minorEastAsia" w:hAnsiTheme="minorEastAsia" w:cstheme="minorEastAsia"/>
                <w:bCs/>
                <w:szCs w:val="21"/>
              </w:rPr>
              <w:t>中</w:t>
            </w:r>
          </w:p>
        </w:tc>
        <w:tc>
          <w:tcPr>
            <w:tcW w:w="1189" w:type="dxa"/>
            <w:vAlign w:val="center"/>
          </w:tcPr>
          <w:p>
            <w:pPr>
              <w:jc w:val="center"/>
              <w:rPr>
                <w:rFonts w:asciiTheme="minorEastAsia" w:hAnsiTheme="minorEastAsia" w:cstheme="minorEastAsia"/>
                <w:bCs/>
                <w:szCs w:val="21"/>
              </w:rPr>
            </w:pPr>
            <w:r>
              <w:rPr>
                <w:rFonts w:hint="eastAsia" w:asciiTheme="minorEastAsia" w:hAnsiTheme="minorEastAsia" w:cstheme="minorEastAsia"/>
                <w:bCs/>
                <w:szCs w:val="21"/>
              </w:rPr>
              <w:t>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249" w:type="dxa"/>
            <w:vAlign w:val="center"/>
          </w:tcPr>
          <w:p>
            <w:pPr>
              <w:jc w:val="center"/>
              <w:rPr>
                <w:rFonts w:asciiTheme="minorEastAsia" w:hAnsiTheme="minorEastAsia" w:cstheme="minorEastAsia"/>
                <w:bCs/>
                <w:szCs w:val="21"/>
              </w:rPr>
            </w:pPr>
            <w:r>
              <w:rPr>
                <w:rFonts w:hint="eastAsia" w:asciiTheme="minorEastAsia" w:hAnsiTheme="minorEastAsia" w:cstheme="minorEastAsia"/>
                <w:bCs/>
                <w:szCs w:val="21"/>
              </w:rPr>
              <w:t>商誉风险</w:t>
            </w:r>
          </w:p>
        </w:tc>
        <w:tc>
          <w:tcPr>
            <w:tcW w:w="2389" w:type="dxa"/>
            <w:vAlign w:val="center"/>
          </w:tcPr>
          <w:p>
            <w:pPr>
              <w:rPr>
                <w:rFonts w:asciiTheme="minorEastAsia" w:hAnsiTheme="minorEastAsia" w:cstheme="minorEastAsia"/>
                <w:bCs/>
                <w:szCs w:val="21"/>
              </w:rPr>
            </w:pPr>
            <w:r>
              <w:rPr>
                <w:rFonts w:hint="eastAsia" w:asciiTheme="minorEastAsia" w:hAnsiTheme="minorEastAsia" w:cstheme="minorEastAsia"/>
                <w:bCs/>
                <w:szCs w:val="21"/>
              </w:rPr>
              <w:t>企业的信誉影响企业的市场竞争力。</w:t>
            </w:r>
          </w:p>
        </w:tc>
        <w:tc>
          <w:tcPr>
            <w:tcW w:w="2406" w:type="dxa"/>
            <w:vAlign w:val="center"/>
          </w:tcPr>
          <w:p>
            <w:pPr>
              <w:rPr>
                <w:rFonts w:asciiTheme="minorEastAsia" w:hAnsiTheme="minorEastAsia" w:cstheme="minorEastAsia"/>
                <w:bCs/>
                <w:szCs w:val="21"/>
              </w:rPr>
            </w:pPr>
            <w:r>
              <w:rPr>
                <w:rFonts w:hint="eastAsia" w:asciiTheme="minorEastAsia" w:hAnsiTheme="minorEastAsia" w:cstheme="minorEastAsia"/>
                <w:bCs/>
                <w:szCs w:val="21"/>
              </w:rPr>
              <w:t>树立良好形象，加强内部管理。</w:t>
            </w:r>
          </w:p>
        </w:tc>
        <w:tc>
          <w:tcPr>
            <w:tcW w:w="1211" w:type="dxa"/>
            <w:vAlign w:val="center"/>
          </w:tcPr>
          <w:p>
            <w:pPr>
              <w:jc w:val="center"/>
              <w:rPr>
                <w:rFonts w:asciiTheme="minorEastAsia" w:hAnsiTheme="minorEastAsia" w:cstheme="minorEastAsia"/>
                <w:bCs/>
                <w:szCs w:val="21"/>
              </w:rPr>
            </w:pPr>
            <w:r>
              <w:rPr>
                <w:rFonts w:hint="eastAsia" w:asciiTheme="minorEastAsia" w:hAnsiTheme="minorEastAsia" w:cstheme="minorEastAsia"/>
                <w:bCs/>
                <w:szCs w:val="21"/>
              </w:rPr>
              <w:t>较大</w:t>
            </w:r>
          </w:p>
        </w:tc>
        <w:tc>
          <w:tcPr>
            <w:tcW w:w="1189" w:type="dxa"/>
            <w:vAlign w:val="center"/>
          </w:tcPr>
          <w:p>
            <w:pPr>
              <w:jc w:val="center"/>
              <w:rPr>
                <w:rFonts w:asciiTheme="minorEastAsia" w:hAnsiTheme="minorEastAsia" w:cstheme="minorEastAsia"/>
                <w:bCs/>
                <w:szCs w:val="21"/>
              </w:rPr>
            </w:pPr>
            <w:r>
              <w:rPr>
                <w:rFonts w:hint="eastAsia" w:asciiTheme="minorEastAsia" w:hAnsiTheme="minorEastAsia" w:cstheme="minorEastAsia"/>
                <w:bCs/>
                <w:szCs w:val="21"/>
              </w:rPr>
              <w:t>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249" w:type="dxa"/>
            <w:vAlign w:val="center"/>
          </w:tcPr>
          <w:p>
            <w:pPr>
              <w:jc w:val="center"/>
              <w:rPr>
                <w:rFonts w:asciiTheme="minorEastAsia" w:hAnsiTheme="minorEastAsia" w:cstheme="minorEastAsia"/>
                <w:bCs/>
                <w:szCs w:val="21"/>
              </w:rPr>
            </w:pPr>
            <w:r>
              <w:rPr>
                <w:rFonts w:hint="eastAsia" w:asciiTheme="minorEastAsia" w:hAnsiTheme="minorEastAsia" w:cstheme="minorEastAsia"/>
                <w:bCs/>
                <w:szCs w:val="21"/>
              </w:rPr>
              <w:t>人事风险</w:t>
            </w:r>
          </w:p>
        </w:tc>
        <w:tc>
          <w:tcPr>
            <w:tcW w:w="2389" w:type="dxa"/>
            <w:vAlign w:val="center"/>
          </w:tcPr>
          <w:p>
            <w:pPr>
              <w:rPr>
                <w:rFonts w:asciiTheme="minorEastAsia" w:hAnsiTheme="minorEastAsia" w:cstheme="minorEastAsia"/>
                <w:bCs/>
                <w:szCs w:val="21"/>
              </w:rPr>
            </w:pPr>
            <w:r>
              <w:rPr>
                <w:rFonts w:hint="eastAsia" w:asciiTheme="minorEastAsia" w:hAnsiTheme="minorEastAsia" w:cstheme="minorEastAsia"/>
                <w:bCs/>
                <w:szCs w:val="21"/>
              </w:rPr>
              <w:t>企业用人管理不当造成的风险，会对企业利益造成损害。</w:t>
            </w:r>
          </w:p>
        </w:tc>
        <w:tc>
          <w:tcPr>
            <w:tcW w:w="2406" w:type="dxa"/>
            <w:vAlign w:val="center"/>
          </w:tcPr>
          <w:p>
            <w:pPr>
              <w:rPr>
                <w:rFonts w:asciiTheme="minorEastAsia" w:hAnsiTheme="minorEastAsia" w:cstheme="minorEastAsia"/>
                <w:bCs/>
                <w:szCs w:val="21"/>
              </w:rPr>
            </w:pPr>
            <w:r>
              <w:rPr>
                <w:rFonts w:hint="eastAsia" w:asciiTheme="minorEastAsia" w:hAnsiTheme="minorEastAsia" w:cstheme="minorEastAsia"/>
                <w:bCs/>
                <w:szCs w:val="21"/>
              </w:rPr>
              <w:t>建立公平的员工考核原则，对人力资源进行合理规划。</w:t>
            </w:r>
          </w:p>
        </w:tc>
        <w:tc>
          <w:tcPr>
            <w:tcW w:w="1211" w:type="dxa"/>
            <w:vAlign w:val="center"/>
          </w:tcPr>
          <w:p>
            <w:pPr>
              <w:jc w:val="center"/>
              <w:rPr>
                <w:rFonts w:asciiTheme="minorEastAsia" w:hAnsiTheme="minorEastAsia" w:cstheme="minorEastAsia"/>
                <w:bCs/>
                <w:szCs w:val="21"/>
              </w:rPr>
            </w:pPr>
            <w:r>
              <w:rPr>
                <w:rFonts w:hint="eastAsia" w:asciiTheme="minorEastAsia" w:hAnsiTheme="minorEastAsia" w:cstheme="minorEastAsia"/>
                <w:bCs/>
                <w:szCs w:val="21"/>
              </w:rPr>
              <w:t>中</w:t>
            </w:r>
          </w:p>
        </w:tc>
        <w:tc>
          <w:tcPr>
            <w:tcW w:w="1189" w:type="dxa"/>
            <w:vAlign w:val="center"/>
          </w:tcPr>
          <w:p>
            <w:pPr>
              <w:jc w:val="center"/>
              <w:rPr>
                <w:rFonts w:asciiTheme="minorEastAsia" w:hAnsiTheme="minorEastAsia" w:cstheme="minorEastAsia"/>
                <w:bCs/>
                <w:szCs w:val="21"/>
              </w:rPr>
            </w:pPr>
            <w:r>
              <w:rPr>
                <w:rFonts w:hint="eastAsia" w:asciiTheme="minorEastAsia" w:hAnsiTheme="minorEastAsia" w:cstheme="minorEastAsia"/>
                <w:bCs/>
                <w:szCs w:val="21"/>
              </w:rPr>
              <w:t>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249" w:type="dxa"/>
            <w:vAlign w:val="center"/>
          </w:tcPr>
          <w:p>
            <w:pPr>
              <w:jc w:val="center"/>
              <w:rPr>
                <w:rFonts w:asciiTheme="minorEastAsia" w:hAnsiTheme="minorEastAsia" w:cstheme="minorEastAsia"/>
                <w:bCs/>
                <w:szCs w:val="21"/>
              </w:rPr>
            </w:pPr>
            <w:r>
              <w:rPr>
                <w:rFonts w:hint="eastAsia" w:asciiTheme="minorEastAsia" w:hAnsiTheme="minorEastAsia" w:cstheme="minorEastAsia"/>
                <w:bCs/>
                <w:szCs w:val="21"/>
              </w:rPr>
              <w:t>贪腐风险</w:t>
            </w:r>
          </w:p>
        </w:tc>
        <w:tc>
          <w:tcPr>
            <w:tcW w:w="2389" w:type="dxa"/>
            <w:vAlign w:val="center"/>
          </w:tcPr>
          <w:p>
            <w:pPr>
              <w:rPr>
                <w:rFonts w:asciiTheme="minorEastAsia" w:hAnsiTheme="minorEastAsia" w:cstheme="minorEastAsia"/>
                <w:bCs/>
                <w:szCs w:val="21"/>
              </w:rPr>
            </w:pPr>
            <w:r>
              <w:rPr>
                <w:rFonts w:hint="eastAsia" w:asciiTheme="minorEastAsia" w:hAnsiTheme="minorEastAsia" w:cstheme="minorEastAsia"/>
                <w:bCs/>
                <w:szCs w:val="21"/>
              </w:rPr>
              <w:t>企业内部人员贪腐行为造成的风险。</w:t>
            </w:r>
          </w:p>
        </w:tc>
        <w:tc>
          <w:tcPr>
            <w:tcW w:w="2406" w:type="dxa"/>
            <w:vAlign w:val="center"/>
          </w:tcPr>
          <w:p>
            <w:pPr>
              <w:rPr>
                <w:rFonts w:asciiTheme="minorEastAsia" w:hAnsiTheme="minorEastAsia" w:cstheme="minorEastAsia"/>
                <w:bCs/>
                <w:szCs w:val="21"/>
              </w:rPr>
            </w:pPr>
            <w:r>
              <w:rPr>
                <w:rFonts w:hint="eastAsia" w:asciiTheme="minorEastAsia" w:hAnsiTheme="minorEastAsia" w:cstheme="minorEastAsia"/>
                <w:bCs/>
                <w:szCs w:val="21"/>
              </w:rPr>
              <w:t>加大对贪腐行为的惩罚力度。</w:t>
            </w:r>
          </w:p>
        </w:tc>
        <w:tc>
          <w:tcPr>
            <w:tcW w:w="1211" w:type="dxa"/>
            <w:vAlign w:val="center"/>
          </w:tcPr>
          <w:p>
            <w:pPr>
              <w:jc w:val="center"/>
              <w:rPr>
                <w:rFonts w:asciiTheme="minorEastAsia" w:hAnsiTheme="minorEastAsia" w:cstheme="minorEastAsia"/>
                <w:bCs/>
                <w:szCs w:val="21"/>
              </w:rPr>
            </w:pPr>
            <w:r>
              <w:rPr>
                <w:rFonts w:hint="eastAsia" w:asciiTheme="minorEastAsia" w:hAnsiTheme="minorEastAsia" w:cstheme="minorEastAsia"/>
                <w:bCs/>
                <w:szCs w:val="21"/>
              </w:rPr>
              <w:t>较大</w:t>
            </w:r>
          </w:p>
        </w:tc>
        <w:tc>
          <w:tcPr>
            <w:tcW w:w="1189" w:type="dxa"/>
            <w:vAlign w:val="center"/>
          </w:tcPr>
          <w:p>
            <w:pPr>
              <w:jc w:val="center"/>
              <w:rPr>
                <w:rFonts w:asciiTheme="minorEastAsia" w:hAnsiTheme="minorEastAsia" w:cstheme="minorEastAsia"/>
                <w:bCs/>
                <w:szCs w:val="21"/>
              </w:rPr>
            </w:pPr>
            <w:r>
              <w:rPr>
                <w:rFonts w:hint="eastAsia" w:asciiTheme="minorEastAsia" w:hAnsiTheme="minorEastAsia" w:cstheme="minorEastAsia"/>
                <w:bCs/>
                <w:szCs w:val="21"/>
              </w:rPr>
              <w:t>中</w:t>
            </w:r>
          </w:p>
        </w:tc>
      </w:tr>
    </w:tbl>
    <w:p>
      <w:pPr>
        <w:rPr>
          <w:rFonts w:asciiTheme="minorEastAsia" w:hAnsiTheme="minorEastAsia" w:cstheme="minorEastAsia"/>
          <w:b/>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C0ADE5"/>
    <w:multiLevelType w:val="singleLevel"/>
    <w:tmpl w:val="8CC0ADE5"/>
    <w:lvl w:ilvl="0" w:tentative="0">
      <w:start w:val="2"/>
      <w:numFmt w:val="decimal"/>
      <w:suff w:val="nothing"/>
      <w:lvlText w:val="（%1）"/>
      <w:lvlJc w:val="left"/>
    </w:lvl>
  </w:abstractNum>
  <w:abstractNum w:abstractNumId="1">
    <w:nsid w:val="BC62F1BF"/>
    <w:multiLevelType w:val="multilevel"/>
    <w:tmpl w:val="BC62F1BF"/>
    <w:lvl w:ilvl="0" w:tentative="0">
      <w:start w:val="1"/>
      <w:numFmt w:val="decimal"/>
      <w:lvlText w:val="%1."/>
      <w:lvlJc w:val="left"/>
      <w:pPr>
        <w:tabs>
          <w:tab w:val="left" w:pos="312"/>
        </w:tabs>
      </w:pPr>
    </w:lvl>
    <w:lvl w:ilvl="1" w:tentative="0">
      <w:start w:val="3"/>
      <w:numFmt w:val="decimal"/>
      <w:isLgl/>
      <w:lvlText w:val="%1.%2"/>
      <w:lvlJc w:val="left"/>
      <w:pPr>
        <w:ind w:left="560" w:hanging="560"/>
      </w:pPr>
      <w:rPr>
        <w:rFonts w:hint="default" w:ascii="宋体" w:hAnsi="宋体" w:eastAsia="宋体" w:cs="宋体"/>
        <w:b/>
        <w:color w:val="000000"/>
      </w:rPr>
    </w:lvl>
    <w:lvl w:ilvl="2" w:tentative="0">
      <w:start w:val="5"/>
      <w:numFmt w:val="decimal"/>
      <w:isLgl/>
      <w:lvlText w:val="%1.%2.%3"/>
      <w:lvlJc w:val="left"/>
      <w:pPr>
        <w:ind w:left="720" w:hanging="720"/>
      </w:pPr>
      <w:rPr>
        <w:rFonts w:hint="default" w:ascii="宋体" w:hAnsi="宋体" w:eastAsia="宋体" w:cs="宋体"/>
        <w:b/>
        <w:color w:val="000000"/>
      </w:rPr>
    </w:lvl>
    <w:lvl w:ilvl="3" w:tentative="0">
      <w:start w:val="1"/>
      <w:numFmt w:val="decimal"/>
      <w:isLgl/>
      <w:lvlText w:val="%1.%2.%3.%4"/>
      <w:lvlJc w:val="left"/>
      <w:pPr>
        <w:ind w:left="720" w:hanging="720"/>
      </w:pPr>
      <w:rPr>
        <w:rFonts w:hint="default" w:ascii="宋体" w:hAnsi="宋体" w:eastAsia="宋体" w:cs="宋体"/>
        <w:b/>
        <w:color w:val="000000"/>
      </w:rPr>
    </w:lvl>
    <w:lvl w:ilvl="4" w:tentative="0">
      <w:start w:val="1"/>
      <w:numFmt w:val="decimal"/>
      <w:isLgl/>
      <w:lvlText w:val="%1.%2.%3.%4.%5"/>
      <w:lvlJc w:val="left"/>
      <w:pPr>
        <w:ind w:left="1080" w:hanging="1080"/>
      </w:pPr>
      <w:rPr>
        <w:rFonts w:hint="default" w:ascii="宋体" w:hAnsi="宋体" w:eastAsia="宋体" w:cs="宋体"/>
        <w:b/>
        <w:color w:val="000000"/>
      </w:rPr>
    </w:lvl>
    <w:lvl w:ilvl="5" w:tentative="0">
      <w:start w:val="1"/>
      <w:numFmt w:val="decimal"/>
      <w:isLgl/>
      <w:lvlText w:val="%1.%2.%3.%4.%5.%6"/>
      <w:lvlJc w:val="left"/>
      <w:pPr>
        <w:ind w:left="1080" w:hanging="1080"/>
      </w:pPr>
      <w:rPr>
        <w:rFonts w:hint="default" w:ascii="宋体" w:hAnsi="宋体" w:eastAsia="宋体" w:cs="宋体"/>
        <w:b/>
        <w:color w:val="000000"/>
      </w:rPr>
    </w:lvl>
    <w:lvl w:ilvl="6" w:tentative="0">
      <w:start w:val="1"/>
      <w:numFmt w:val="decimal"/>
      <w:isLgl/>
      <w:lvlText w:val="%1.%2.%3.%4.%5.%6.%7"/>
      <w:lvlJc w:val="left"/>
      <w:pPr>
        <w:ind w:left="1080" w:hanging="1080"/>
      </w:pPr>
      <w:rPr>
        <w:rFonts w:hint="default" w:ascii="宋体" w:hAnsi="宋体" w:eastAsia="宋体" w:cs="宋体"/>
        <w:b/>
        <w:color w:val="000000"/>
      </w:rPr>
    </w:lvl>
    <w:lvl w:ilvl="7" w:tentative="0">
      <w:start w:val="1"/>
      <w:numFmt w:val="decimal"/>
      <w:isLgl/>
      <w:lvlText w:val="%1.%2.%3.%4.%5.%6.%7.%8"/>
      <w:lvlJc w:val="left"/>
      <w:pPr>
        <w:ind w:left="1440" w:hanging="1440"/>
      </w:pPr>
      <w:rPr>
        <w:rFonts w:hint="default" w:ascii="宋体" w:hAnsi="宋体" w:eastAsia="宋体" w:cs="宋体"/>
        <w:b/>
        <w:color w:val="000000"/>
      </w:rPr>
    </w:lvl>
    <w:lvl w:ilvl="8" w:tentative="0">
      <w:start w:val="1"/>
      <w:numFmt w:val="decimal"/>
      <w:isLgl/>
      <w:lvlText w:val="%1.%2.%3.%4.%5.%6.%7.%8.%9"/>
      <w:lvlJc w:val="left"/>
      <w:pPr>
        <w:ind w:left="1440" w:hanging="1440"/>
      </w:pPr>
      <w:rPr>
        <w:rFonts w:hint="default" w:ascii="宋体" w:hAnsi="宋体" w:eastAsia="宋体" w:cs="宋体"/>
        <w:b/>
        <w:color w:val="000000"/>
      </w:rPr>
    </w:lvl>
  </w:abstractNum>
  <w:abstractNum w:abstractNumId="2">
    <w:nsid w:val="319265F7"/>
    <w:multiLevelType w:val="multilevel"/>
    <w:tmpl w:val="319265F7"/>
    <w:lvl w:ilvl="0" w:tentative="0">
      <w:start w:val="4"/>
      <w:numFmt w:val="decimal"/>
      <w:lvlText w:val="%1"/>
      <w:lvlJc w:val="left"/>
      <w:pPr>
        <w:ind w:left="600" w:hanging="600"/>
      </w:pPr>
      <w:rPr>
        <w:rFonts w:hint="default"/>
      </w:rPr>
    </w:lvl>
    <w:lvl w:ilvl="1" w:tentative="0">
      <w:start w:val="2"/>
      <w:numFmt w:val="decimal"/>
      <w:lvlText w:val="%1.%2"/>
      <w:lvlJc w:val="left"/>
      <w:pPr>
        <w:ind w:left="600" w:hanging="60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3">
    <w:nsid w:val="3FF650EC"/>
    <w:multiLevelType w:val="singleLevel"/>
    <w:tmpl w:val="3FF650EC"/>
    <w:lvl w:ilvl="0" w:tentative="0">
      <w:start w:val="1"/>
      <w:numFmt w:val="decimal"/>
      <w:suff w:val="nothing"/>
      <w:lvlText w:val="（%1）"/>
      <w:lvlJc w:val="left"/>
    </w:lvl>
  </w:abstractNum>
  <w:abstractNum w:abstractNumId="4">
    <w:nsid w:val="4E0299D7"/>
    <w:multiLevelType w:val="singleLevel"/>
    <w:tmpl w:val="4E0299D7"/>
    <w:lvl w:ilvl="0" w:tentative="0">
      <w:start w:val="4"/>
      <w:numFmt w:val="decimal"/>
      <w:lvlText w:val="(%1)"/>
      <w:lvlJc w:val="left"/>
      <w:pPr>
        <w:tabs>
          <w:tab w:val="left" w:pos="312"/>
        </w:tabs>
      </w:pPr>
    </w:lvl>
  </w:abstractNum>
  <w:abstractNum w:abstractNumId="5">
    <w:nsid w:val="55C78980"/>
    <w:multiLevelType w:val="singleLevel"/>
    <w:tmpl w:val="55C78980"/>
    <w:lvl w:ilvl="0" w:tentative="0">
      <w:start w:val="1"/>
      <w:numFmt w:val="decimal"/>
      <w:suff w:val="nothing"/>
      <w:lvlText w:val="（%1）"/>
      <w:lvlJc w:val="left"/>
    </w:lvl>
  </w:abstractNum>
  <w:abstractNum w:abstractNumId="6">
    <w:nsid w:val="561D6294"/>
    <w:multiLevelType w:val="multilevel"/>
    <w:tmpl w:val="561D629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7492619F"/>
    <w:multiLevelType w:val="multilevel"/>
    <w:tmpl w:val="7492619F"/>
    <w:lvl w:ilvl="0" w:tentative="0">
      <w:start w:val="3"/>
      <w:numFmt w:val="decimal"/>
      <w:lvlText w:val="%1"/>
      <w:lvlJc w:val="left"/>
      <w:pPr>
        <w:ind w:left="360" w:hanging="360"/>
      </w:pPr>
      <w:rPr>
        <w:rFonts w:hint="default" w:asciiTheme="minorHAnsi" w:hAnsiTheme="minorHAnsi" w:eastAsiaTheme="minorEastAsia"/>
        <w:sz w:val="28"/>
        <w:szCs w:val="48"/>
      </w:rPr>
    </w:lvl>
    <w:lvl w:ilvl="1" w:tentative="0">
      <w:start w:val="1"/>
      <w:numFmt w:val="decimal"/>
      <w:lvlText w:val="%1.%2"/>
      <w:lvlJc w:val="left"/>
      <w:pPr>
        <w:ind w:left="720" w:hanging="720"/>
      </w:pPr>
      <w:rPr>
        <w:rFonts w:hint="default" w:asciiTheme="minorHAnsi" w:hAnsiTheme="minorHAnsi" w:eastAsiaTheme="minorEastAsia"/>
        <w:sz w:val="24"/>
        <w:szCs w:val="44"/>
      </w:rPr>
    </w:lvl>
    <w:lvl w:ilvl="2" w:tentative="0">
      <w:start w:val="1"/>
      <w:numFmt w:val="decimal"/>
      <w:lvlText w:val="%1.%2.%3"/>
      <w:lvlJc w:val="left"/>
      <w:pPr>
        <w:ind w:left="720" w:hanging="720"/>
      </w:pPr>
      <w:rPr>
        <w:rFonts w:hint="default" w:asciiTheme="minorHAnsi" w:hAnsiTheme="minorHAnsi" w:eastAsiaTheme="minorEastAsia"/>
        <w:sz w:val="21"/>
      </w:rPr>
    </w:lvl>
    <w:lvl w:ilvl="3" w:tentative="0">
      <w:start w:val="1"/>
      <w:numFmt w:val="decimal"/>
      <w:lvlText w:val="%1.%2.%3.%4"/>
      <w:lvlJc w:val="left"/>
      <w:pPr>
        <w:ind w:left="1080" w:hanging="1080"/>
      </w:pPr>
      <w:rPr>
        <w:rFonts w:hint="default" w:asciiTheme="minorHAnsi" w:hAnsiTheme="minorHAnsi" w:eastAsiaTheme="minorEastAsia"/>
        <w:sz w:val="21"/>
      </w:rPr>
    </w:lvl>
    <w:lvl w:ilvl="4" w:tentative="0">
      <w:start w:val="1"/>
      <w:numFmt w:val="decimal"/>
      <w:lvlText w:val="%1.%2.%3.%4.%5"/>
      <w:lvlJc w:val="left"/>
      <w:pPr>
        <w:ind w:left="1440" w:hanging="1440"/>
      </w:pPr>
      <w:rPr>
        <w:rFonts w:hint="default" w:asciiTheme="minorHAnsi" w:hAnsiTheme="minorHAnsi" w:eastAsiaTheme="minorEastAsia"/>
        <w:sz w:val="21"/>
      </w:rPr>
    </w:lvl>
    <w:lvl w:ilvl="5" w:tentative="0">
      <w:start w:val="1"/>
      <w:numFmt w:val="decimal"/>
      <w:lvlText w:val="%1.%2.%3.%4.%5.%6"/>
      <w:lvlJc w:val="left"/>
      <w:pPr>
        <w:ind w:left="1800" w:hanging="1800"/>
      </w:pPr>
      <w:rPr>
        <w:rFonts w:hint="default" w:asciiTheme="minorHAnsi" w:hAnsiTheme="minorHAnsi" w:eastAsiaTheme="minorEastAsia"/>
        <w:sz w:val="21"/>
      </w:rPr>
    </w:lvl>
    <w:lvl w:ilvl="6" w:tentative="0">
      <w:start w:val="1"/>
      <w:numFmt w:val="decimal"/>
      <w:lvlText w:val="%1.%2.%3.%4.%5.%6.%7"/>
      <w:lvlJc w:val="left"/>
      <w:pPr>
        <w:ind w:left="2160" w:hanging="2160"/>
      </w:pPr>
      <w:rPr>
        <w:rFonts w:hint="default" w:asciiTheme="minorHAnsi" w:hAnsiTheme="minorHAnsi" w:eastAsiaTheme="minorEastAsia"/>
        <w:sz w:val="21"/>
      </w:rPr>
    </w:lvl>
    <w:lvl w:ilvl="7" w:tentative="0">
      <w:start w:val="1"/>
      <w:numFmt w:val="decimal"/>
      <w:lvlText w:val="%1.%2.%3.%4.%5.%6.%7.%8"/>
      <w:lvlJc w:val="left"/>
      <w:pPr>
        <w:ind w:left="2160" w:hanging="2160"/>
      </w:pPr>
      <w:rPr>
        <w:rFonts w:hint="default" w:asciiTheme="minorHAnsi" w:hAnsiTheme="minorHAnsi" w:eastAsiaTheme="minorEastAsia"/>
        <w:sz w:val="21"/>
      </w:rPr>
    </w:lvl>
    <w:lvl w:ilvl="8" w:tentative="0">
      <w:start w:val="1"/>
      <w:numFmt w:val="decimal"/>
      <w:lvlText w:val="%1.%2.%3.%4.%5.%6.%7.%8.%9"/>
      <w:lvlJc w:val="left"/>
      <w:pPr>
        <w:ind w:left="2520" w:hanging="2520"/>
      </w:pPr>
      <w:rPr>
        <w:rFonts w:hint="default" w:asciiTheme="minorHAnsi" w:hAnsiTheme="minorHAnsi" w:eastAsiaTheme="minorEastAsia"/>
        <w:sz w:val="21"/>
      </w:rPr>
    </w:lvl>
  </w:abstractNum>
  <w:abstractNum w:abstractNumId="8">
    <w:nsid w:val="78720F58"/>
    <w:multiLevelType w:val="singleLevel"/>
    <w:tmpl w:val="78720F58"/>
    <w:lvl w:ilvl="0" w:tentative="0">
      <w:start w:val="1"/>
      <w:numFmt w:val="decimal"/>
      <w:suff w:val="nothing"/>
      <w:lvlText w:val="（%1）"/>
      <w:lvlJc w:val="left"/>
    </w:lvl>
  </w:abstractNum>
  <w:abstractNum w:abstractNumId="9">
    <w:nsid w:val="7BD26F91"/>
    <w:multiLevelType w:val="multilevel"/>
    <w:tmpl w:val="7BD26F91"/>
    <w:lvl w:ilvl="0" w:tentative="0">
      <w:start w:val="2"/>
      <w:numFmt w:val="decimal"/>
      <w:lvlText w:val="%1"/>
      <w:lvlJc w:val="left"/>
      <w:pPr>
        <w:ind w:left="360" w:hanging="360"/>
      </w:pPr>
      <w:rPr>
        <w:rFonts w:hint="default"/>
        <w:sz w:val="24"/>
      </w:rPr>
    </w:lvl>
    <w:lvl w:ilvl="1" w:tentative="0">
      <w:start w:val="1"/>
      <w:numFmt w:val="decimal"/>
      <w:lvlText w:val="%1.%2"/>
      <w:lvlJc w:val="left"/>
      <w:pPr>
        <w:ind w:left="720" w:hanging="720"/>
      </w:pPr>
      <w:rPr>
        <w:rFonts w:hint="default"/>
        <w:sz w:val="24"/>
      </w:rPr>
    </w:lvl>
    <w:lvl w:ilvl="2" w:tentative="0">
      <w:start w:val="1"/>
      <w:numFmt w:val="decimal"/>
      <w:lvlText w:val="%1.%2.%3"/>
      <w:lvlJc w:val="left"/>
      <w:pPr>
        <w:ind w:left="1080" w:hanging="1080"/>
      </w:pPr>
      <w:rPr>
        <w:rFonts w:hint="default"/>
        <w:sz w:val="24"/>
      </w:rPr>
    </w:lvl>
    <w:lvl w:ilvl="3" w:tentative="0">
      <w:start w:val="1"/>
      <w:numFmt w:val="decimal"/>
      <w:lvlText w:val="%1.%2.%3.%4"/>
      <w:lvlJc w:val="left"/>
      <w:pPr>
        <w:ind w:left="1440" w:hanging="1440"/>
      </w:pPr>
      <w:rPr>
        <w:rFonts w:hint="default"/>
        <w:sz w:val="24"/>
      </w:rPr>
    </w:lvl>
    <w:lvl w:ilvl="4" w:tentative="0">
      <w:start w:val="1"/>
      <w:numFmt w:val="decimal"/>
      <w:lvlText w:val="%1.%2.%3.%4.%5"/>
      <w:lvlJc w:val="left"/>
      <w:pPr>
        <w:ind w:left="1800" w:hanging="1800"/>
      </w:pPr>
      <w:rPr>
        <w:rFonts w:hint="default"/>
        <w:sz w:val="24"/>
      </w:rPr>
    </w:lvl>
    <w:lvl w:ilvl="5" w:tentative="0">
      <w:start w:val="1"/>
      <w:numFmt w:val="decimal"/>
      <w:lvlText w:val="%1.%2.%3.%4.%5.%6"/>
      <w:lvlJc w:val="left"/>
      <w:pPr>
        <w:ind w:left="2160" w:hanging="2160"/>
      </w:pPr>
      <w:rPr>
        <w:rFonts w:hint="default"/>
        <w:sz w:val="24"/>
      </w:rPr>
    </w:lvl>
    <w:lvl w:ilvl="6" w:tentative="0">
      <w:start w:val="1"/>
      <w:numFmt w:val="decimal"/>
      <w:lvlText w:val="%1.%2.%3.%4.%5.%6.%7"/>
      <w:lvlJc w:val="left"/>
      <w:pPr>
        <w:ind w:left="2520" w:hanging="2520"/>
      </w:pPr>
      <w:rPr>
        <w:rFonts w:hint="default"/>
        <w:sz w:val="24"/>
      </w:rPr>
    </w:lvl>
    <w:lvl w:ilvl="7" w:tentative="0">
      <w:start w:val="1"/>
      <w:numFmt w:val="decimal"/>
      <w:lvlText w:val="%1.%2.%3.%4.%5.%6.%7.%8"/>
      <w:lvlJc w:val="left"/>
      <w:pPr>
        <w:ind w:left="2880" w:hanging="2880"/>
      </w:pPr>
      <w:rPr>
        <w:rFonts w:hint="default"/>
        <w:sz w:val="24"/>
      </w:rPr>
    </w:lvl>
    <w:lvl w:ilvl="8" w:tentative="0">
      <w:start w:val="1"/>
      <w:numFmt w:val="decimal"/>
      <w:lvlText w:val="%1.%2.%3.%4.%5.%6.%7.%8.%9"/>
      <w:lvlJc w:val="left"/>
      <w:pPr>
        <w:ind w:left="3240" w:hanging="3240"/>
      </w:pPr>
      <w:rPr>
        <w:rFonts w:hint="default"/>
        <w:sz w:val="24"/>
      </w:rPr>
    </w:lvl>
  </w:abstractNum>
  <w:num w:numId="1">
    <w:abstractNumId w:val="1"/>
  </w:num>
  <w:num w:numId="2">
    <w:abstractNumId w:val="9"/>
  </w:num>
  <w:num w:numId="3">
    <w:abstractNumId w:val="0"/>
  </w:num>
  <w:num w:numId="4">
    <w:abstractNumId w:val="3"/>
  </w:num>
  <w:num w:numId="5">
    <w:abstractNumId w:val="5"/>
  </w:num>
  <w:num w:numId="6">
    <w:abstractNumId w:val="4"/>
  </w:num>
  <w:num w:numId="7">
    <w:abstractNumId w:val="8"/>
  </w:num>
  <w:num w:numId="8">
    <w:abstractNumId w:val="7"/>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zNjZkZGFhYjNkMGM1YzlmZTMwMTYzNzQxNWMwZDUifQ=="/>
  </w:docVars>
  <w:rsids>
    <w:rsidRoot w:val="5AA13FB5"/>
    <w:rsid w:val="00170F29"/>
    <w:rsid w:val="001C1CAE"/>
    <w:rsid w:val="003E0BBD"/>
    <w:rsid w:val="00401B54"/>
    <w:rsid w:val="00541784"/>
    <w:rsid w:val="00566EC2"/>
    <w:rsid w:val="005A7552"/>
    <w:rsid w:val="00663A27"/>
    <w:rsid w:val="006F157A"/>
    <w:rsid w:val="006F7C3A"/>
    <w:rsid w:val="00763600"/>
    <w:rsid w:val="007B7F19"/>
    <w:rsid w:val="00822409"/>
    <w:rsid w:val="00834F40"/>
    <w:rsid w:val="008450B8"/>
    <w:rsid w:val="008F24EE"/>
    <w:rsid w:val="00926CEF"/>
    <w:rsid w:val="009754DA"/>
    <w:rsid w:val="009F6089"/>
    <w:rsid w:val="00A9713C"/>
    <w:rsid w:val="00B9296E"/>
    <w:rsid w:val="00C42E9C"/>
    <w:rsid w:val="00C45244"/>
    <w:rsid w:val="00D7761A"/>
    <w:rsid w:val="00DC5073"/>
    <w:rsid w:val="00DE4A53"/>
    <w:rsid w:val="00F32D51"/>
    <w:rsid w:val="00F651FA"/>
    <w:rsid w:val="26CA4C77"/>
    <w:rsid w:val="38AD3A1F"/>
    <w:rsid w:val="4592275B"/>
    <w:rsid w:val="4FBF3F5F"/>
    <w:rsid w:val="5AA13FB5"/>
    <w:rsid w:val="5F6812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23"/>
    <w:semiHidden/>
    <w:unhideWhenUsed/>
    <w:qFormat/>
    <w:uiPriority w:val="0"/>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link w:val="24"/>
    <w:unhideWhenUsed/>
    <w:qFormat/>
    <w:uiPriority w:val="35"/>
    <w:pPr>
      <w:ind w:firstLine="883" w:firstLineChars="200"/>
      <w:jc w:val="center"/>
    </w:pPr>
    <w:rPr>
      <w:rFonts w:ascii="Arial" w:hAnsi="Arial" w:eastAsia="黑体" w:cs="Times New Roman"/>
      <w:sz w:val="20"/>
    </w:rPr>
  </w:style>
  <w:style w:type="paragraph" w:styleId="6">
    <w:name w:val="annotation text"/>
    <w:basedOn w:val="1"/>
    <w:link w:val="28"/>
    <w:qFormat/>
    <w:uiPriority w:val="0"/>
    <w:pPr>
      <w:jc w:val="left"/>
    </w:pPr>
  </w:style>
  <w:style w:type="paragraph" w:styleId="7">
    <w:name w:val="toc 3"/>
    <w:basedOn w:val="1"/>
    <w:next w:val="1"/>
    <w:qFormat/>
    <w:uiPriority w:val="39"/>
    <w:pPr>
      <w:ind w:left="840" w:leftChars="400"/>
    </w:pPr>
  </w:style>
  <w:style w:type="paragraph" w:styleId="8">
    <w:name w:val="Balloon Text"/>
    <w:basedOn w:val="1"/>
    <w:link w:val="30"/>
    <w:qFormat/>
    <w:uiPriority w:val="0"/>
    <w:rPr>
      <w:sz w:val="18"/>
      <w:szCs w:val="18"/>
    </w:rPr>
  </w:style>
  <w:style w:type="paragraph" w:styleId="9">
    <w:name w:val="footer"/>
    <w:basedOn w:val="1"/>
    <w:link w:val="20"/>
    <w:qFormat/>
    <w:uiPriority w:val="99"/>
    <w:pPr>
      <w:tabs>
        <w:tab w:val="center" w:pos="4153"/>
        <w:tab w:val="right" w:pos="8306"/>
      </w:tabs>
      <w:snapToGrid w:val="0"/>
      <w:jc w:val="left"/>
    </w:pPr>
    <w:rPr>
      <w:sz w:val="18"/>
      <w:szCs w:val="18"/>
    </w:rPr>
  </w:style>
  <w:style w:type="paragraph" w:styleId="10">
    <w:name w:val="header"/>
    <w:basedOn w:val="1"/>
    <w:link w:val="19"/>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annotation subject"/>
    <w:basedOn w:val="6"/>
    <w:next w:val="6"/>
    <w:link w:val="29"/>
    <w:qFormat/>
    <w:uiPriority w:val="0"/>
    <w:rPr>
      <w:b/>
      <w:bCs/>
    </w:rPr>
  </w:style>
  <w:style w:type="table" w:styleId="15">
    <w:name w:val="Table Grid"/>
    <w:basedOn w:val="14"/>
    <w:qFormat/>
    <w:uiPriority w:val="0"/>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qFormat/>
    <w:uiPriority w:val="99"/>
    <w:rPr>
      <w:color w:val="0000FF"/>
      <w:u w:val="single"/>
    </w:rPr>
  </w:style>
  <w:style w:type="character" w:styleId="18">
    <w:name w:val="annotation reference"/>
    <w:basedOn w:val="16"/>
    <w:qFormat/>
    <w:uiPriority w:val="0"/>
    <w:rPr>
      <w:sz w:val="21"/>
      <w:szCs w:val="21"/>
    </w:rPr>
  </w:style>
  <w:style w:type="character" w:customStyle="1" w:styleId="19">
    <w:name w:val="页眉 字符"/>
    <w:basedOn w:val="16"/>
    <w:link w:val="10"/>
    <w:qFormat/>
    <w:uiPriority w:val="99"/>
    <w:rPr>
      <w:rFonts w:asciiTheme="minorHAnsi" w:hAnsiTheme="minorHAnsi" w:eastAsiaTheme="minorEastAsia" w:cstheme="minorBidi"/>
      <w:kern w:val="2"/>
      <w:sz w:val="18"/>
      <w:szCs w:val="18"/>
    </w:rPr>
  </w:style>
  <w:style w:type="character" w:customStyle="1" w:styleId="20">
    <w:name w:val="页脚 字符"/>
    <w:basedOn w:val="16"/>
    <w:link w:val="9"/>
    <w:qFormat/>
    <w:uiPriority w:val="99"/>
    <w:rPr>
      <w:rFonts w:asciiTheme="minorHAnsi" w:hAnsiTheme="minorHAnsi" w:eastAsiaTheme="minorEastAsia" w:cstheme="minorBidi"/>
      <w:kern w:val="2"/>
      <w:sz w:val="18"/>
      <w:szCs w:val="18"/>
    </w:rPr>
  </w:style>
  <w:style w:type="character" w:customStyle="1" w:styleId="21">
    <w:name w:val="标题 2 字符"/>
    <w:basedOn w:val="16"/>
    <w:link w:val="3"/>
    <w:qFormat/>
    <w:uiPriority w:val="0"/>
    <w:rPr>
      <w:rFonts w:ascii="Arial" w:hAnsi="Arial" w:eastAsia="黑体" w:cstheme="minorBidi"/>
      <w:b/>
      <w:kern w:val="2"/>
      <w:sz w:val="32"/>
      <w:szCs w:val="24"/>
    </w:rPr>
  </w:style>
  <w:style w:type="character" w:customStyle="1" w:styleId="22">
    <w:name w:val="标题 1 字符"/>
    <w:basedOn w:val="16"/>
    <w:link w:val="2"/>
    <w:qFormat/>
    <w:uiPriority w:val="0"/>
    <w:rPr>
      <w:rFonts w:asciiTheme="minorHAnsi" w:hAnsiTheme="minorHAnsi" w:eastAsiaTheme="minorEastAsia" w:cstheme="minorBidi"/>
      <w:b/>
      <w:bCs/>
      <w:kern w:val="44"/>
      <w:sz w:val="44"/>
      <w:szCs w:val="44"/>
    </w:rPr>
  </w:style>
  <w:style w:type="character" w:customStyle="1" w:styleId="23">
    <w:name w:val="标题 3 字符"/>
    <w:basedOn w:val="16"/>
    <w:link w:val="4"/>
    <w:semiHidden/>
    <w:qFormat/>
    <w:uiPriority w:val="0"/>
    <w:rPr>
      <w:rFonts w:asciiTheme="minorHAnsi" w:hAnsiTheme="minorHAnsi" w:eastAsiaTheme="minorEastAsia" w:cstheme="minorBidi"/>
      <w:b/>
      <w:bCs/>
      <w:kern w:val="2"/>
      <w:sz w:val="32"/>
      <w:szCs w:val="32"/>
    </w:rPr>
  </w:style>
  <w:style w:type="character" w:customStyle="1" w:styleId="24">
    <w:name w:val="题注 字符"/>
    <w:link w:val="5"/>
    <w:qFormat/>
    <w:uiPriority w:val="0"/>
    <w:rPr>
      <w:rFonts w:ascii="Arial" w:hAnsi="Arial" w:eastAsia="黑体"/>
      <w:kern w:val="2"/>
      <w:szCs w:val="24"/>
    </w:rPr>
  </w:style>
  <w:style w:type="paragraph" w:styleId="25">
    <w:name w:val="List Paragraph"/>
    <w:basedOn w:val="1"/>
    <w:qFormat/>
    <w:uiPriority w:val="34"/>
    <w:pPr>
      <w:ind w:firstLine="420" w:firstLineChars="200"/>
    </w:pPr>
  </w:style>
  <w:style w:type="character" w:customStyle="1" w:styleId="26">
    <w:name w:val="15"/>
    <w:basedOn w:val="16"/>
    <w:qFormat/>
    <w:uiPriority w:val="0"/>
    <w:rPr>
      <w:rFonts w:hint="default" w:ascii="Times New Roman" w:hAnsi="Times New Roman" w:cs="Times New Roman"/>
      <w:color w:val="0000FF"/>
      <w:u w:val="single"/>
    </w:rPr>
  </w:style>
  <w:style w:type="paragraph" w:customStyle="1" w:styleId="27">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8">
    <w:name w:val="批注文字 字符"/>
    <w:basedOn w:val="16"/>
    <w:link w:val="6"/>
    <w:qFormat/>
    <w:uiPriority w:val="0"/>
    <w:rPr>
      <w:rFonts w:asciiTheme="minorHAnsi" w:hAnsiTheme="minorHAnsi" w:eastAsiaTheme="minorEastAsia" w:cstheme="minorBidi"/>
      <w:kern w:val="2"/>
      <w:sz w:val="21"/>
      <w:szCs w:val="24"/>
    </w:rPr>
  </w:style>
  <w:style w:type="character" w:customStyle="1" w:styleId="29">
    <w:name w:val="批注主题 字符"/>
    <w:basedOn w:val="28"/>
    <w:link w:val="13"/>
    <w:qFormat/>
    <w:uiPriority w:val="0"/>
    <w:rPr>
      <w:rFonts w:asciiTheme="minorHAnsi" w:hAnsiTheme="minorHAnsi" w:eastAsiaTheme="minorEastAsia" w:cstheme="minorBidi"/>
      <w:b/>
      <w:bCs/>
      <w:kern w:val="2"/>
      <w:sz w:val="21"/>
      <w:szCs w:val="24"/>
    </w:rPr>
  </w:style>
  <w:style w:type="character" w:customStyle="1" w:styleId="30">
    <w:name w:val="批注框文本 字符"/>
    <w:basedOn w:val="16"/>
    <w:link w:val="8"/>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chart" Target="charts/chart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500" b="1" i="0" u="none" strike="noStrike" kern="1200" cap="all" spc="100" normalizeH="0" baseline="0">
              <a:solidFill>
                <a:schemeClr val="lt1"/>
              </a:solidFill>
              <a:latin typeface="+mn-lt"/>
              <a:ea typeface="+mn-ea"/>
              <a:cs typeface="+mn-cs"/>
            </a:defRPr>
          </a:pPr>
        </a:p>
      </c:txPr>
    </c:title>
    <c:autoTitleDeleted val="0"/>
    <c:plotArea>
      <c:layout/>
      <c:lineChart>
        <c:grouping val="standard"/>
        <c:varyColors val="0"/>
        <c:ser>
          <c:idx val="0"/>
          <c:order val="0"/>
          <c:tx>
            <c:strRef>
              <c:f>Sheet1!$B$1</c:f>
              <c:strCache>
                <c:ptCount val="1"/>
                <c:pt idx="0">
                  <c:v>卫生健康支出（亿元）</c:v>
                </c:pt>
              </c:strCache>
            </c:strRef>
          </c:tx>
          <c:spPr>
            <a:ln w="25400" cap="rnd">
              <a:solidFill>
                <a:schemeClr val="lt1"/>
              </a:solidFill>
              <a:round/>
            </a:ln>
            <a:effectLst>
              <a:outerShdw dist="25400" dir="2700000" algn="tl" rotWithShape="0">
                <a:schemeClr val="accent1"/>
              </a:outerShdw>
            </a:effectLst>
          </c:spPr>
          <c:marker>
            <c:symbol val="none"/>
          </c:marker>
          <c:dLbls>
            <c:spPr>
              <a:solidFill>
                <a:schemeClr val="accent1"/>
              </a:solid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accent1">
                          <a:lumMod val="60000"/>
                          <a:lumOff val="40000"/>
                        </a:schemeClr>
                      </a:solidFill>
                    </a:ln>
                    <a:effectLst/>
                  </c:spPr>
                </c15:leaderLines>
              </c:ext>
            </c:extLst>
          </c:dLbls>
          <c:cat>
            <c:numRef>
              <c:f>Sheet1!$A$2:$A$5</c:f>
              <c:numCache>
                <c:formatCode>General</c:formatCode>
                <c:ptCount val="4"/>
                <c:pt idx="0">
                  <c:v>2019</c:v>
                </c:pt>
                <c:pt idx="1">
                  <c:v>2020</c:v>
                </c:pt>
                <c:pt idx="2">
                  <c:v>2021</c:v>
                </c:pt>
                <c:pt idx="3">
                  <c:v>2022</c:v>
                </c:pt>
              </c:numCache>
            </c:numRef>
          </c:cat>
          <c:val>
            <c:numRef>
              <c:f>Sheet1!$B$2:$B$5</c:f>
              <c:numCache>
                <c:formatCode>General</c:formatCode>
                <c:ptCount val="4"/>
                <c:pt idx="0">
                  <c:v>16797</c:v>
                </c:pt>
                <c:pt idx="1">
                  <c:v>19201</c:v>
                </c:pt>
                <c:pt idx="2">
                  <c:v>19205</c:v>
                </c:pt>
                <c:pt idx="3">
                  <c:v>22542</c:v>
                </c:pt>
              </c:numCache>
            </c:numRef>
          </c:val>
          <c:smooth val="0"/>
        </c:ser>
        <c:dLbls>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marker val="0"/>
        <c:smooth val="0"/>
        <c:axId val="636191150"/>
        <c:axId val="49728910"/>
      </c:lineChart>
      <c:catAx>
        <c:axId val="636191150"/>
        <c:scaling>
          <c:orientation val="minMax"/>
        </c:scaling>
        <c:delete val="0"/>
        <c:axPos val="b"/>
        <c:numFmt formatCode="General" sourceLinked="0"/>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spc="30" baseline="0">
                <a:solidFill>
                  <a:schemeClr val="lt1"/>
                </a:solidFill>
                <a:latin typeface="+mn-lt"/>
                <a:ea typeface="+mn-ea"/>
                <a:cs typeface="+mn-cs"/>
              </a:defRPr>
            </a:pPr>
          </a:p>
        </c:txPr>
        <c:crossAx val="49728910"/>
        <c:crosses val="autoZero"/>
        <c:auto val="1"/>
        <c:lblAlgn val="ctr"/>
        <c:lblOffset val="100"/>
        <c:noMultiLvlLbl val="0"/>
      </c:catAx>
      <c:valAx>
        <c:axId val="49728910"/>
        <c:scaling>
          <c:orientation val="minMax"/>
        </c:scaling>
        <c:delete val="1"/>
        <c:axPos val="l"/>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lt1"/>
                </a:solidFill>
                <a:latin typeface="+mn-lt"/>
                <a:ea typeface="+mn-ea"/>
                <a:cs typeface="+mn-cs"/>
              </a:defRPr>
            </a:pPr>
          </a:p>
        </c:txPr>
        <c:crossAx val="636191150"/>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lt1">
          <a:lumMod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66364-7A66-485E-995D-67406743AA87}">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16518</Words>
  <Characters>18977</Characters>
  <Lines>184</Lines>
  <Paragraphs>51</Paragraphs>
  <TotalTime>1</TotalTime>
  <ScaleCrop>false</ScaleCrop>
  <LinksUpToDate>false</LinksUpToDate>
  <CharactersWithSpaces>19419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2023-04-14T02:41:00Z</dcterms:created>
  <dc:creator>Siyu Peng</dc:creator>
  <cp:lastModifiedBy>彭思宇</cp:lastModifiedBy>
  <dcterms:modified xsi:type="dcterms:W3CDTF">2023-06-17T14:49:11Z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30E6E5FDE7F94EC79252E0D050310648_11</vt:lpwstr>
  </property>
</Properties>
</file>